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615DC587" w14:textId="77777777" w:rsidR="00603641" w:rsidRDefault="00000000">
      <w:pPr>
        <w:pStyle w:val="Title"/>
        <w:jc w:val="center"/>
      </w:pPr>
      <w:r>
        <w:rPr>
          <w:b/>
        </w:rPr>
        <w:t>FROM FORGOTTEN ECOSYSTEMS TO CLIMATE ACTION</w:t>
      </w:r>
    </w:p>
    <w:p w14:paraId="656FC546" w14:textId="77777777" w:rsidR="00603641" w:rsidRDefault="00000000">
      <w:pPr>
        <w:jc w:val="center"/>
      </w:pPr>
      <w:r>
        <w:rPr>
          <w:i/>
        </w:rPr>
        <w:t xml:space="preserve">How EUKI support enabled Association </w:t>
      </w:r>
      <w:proofErr w:type="spellStart"/>
      <w:r>
        <w:rPr>
          <w:i/>
        </w:rPr>
        <w:t>Dinarica</w:t>
      </w:r>
      <w:proofErr w:type="spellEnd"/>
      <w:r>
        <w:rPr>
          <w:i/>
        </w:rPr>
        <w:t xml:space="preserve"> to connect peatland science, education, hydropower governance and institutional change in Bosnia and Herzegovina and Montenegro</w:t>
      </w:r>
    </w:p>
    <w:p w14:paraId="0BF00A97" w14:textId="77777777" w:rsidR="00603641" w:rsidRDefault="00000000">
      <w:pPr>
        <w:spacing w:after="120"/>
      </w:pPr>
      <w:r>
        <w:rPr>
          <w:b/>
        </w:rPr>
        <w:t>EUROPEAN CLIMATE INITIATIVE (EUKI) | PROJECT 23_052 | SEPTEMBER 2026</w:t>
      </w:r>
    </w:p>
    <w:p w14:paraId="12D2F583" w14:textId="77777777" w:rsidR="00603641" w:rsidRDefault="00000000">
      <w:pPr>
        <w:spacing w:after="120"/>
      </w:pPr>
      <w:r>
        <w:t>Project: Boosting GHG sequestration capacities of the Dinaric karst peatlands</w:t>
      </w:r>
    </w:p>
    <w:p w14:paraId="42214DF9" w14:textId="77777777" w:rsidR="00603641" w:rsidRDefault="00000000">
      <w:pPr>
        <w:spacing w:after="120"/>
      </w:pPr>
      <w:r>
        <w:t xml:space="preserve">Lead </w:t>
      </w:r>
      <w:proofErr w:type="spellStart"/>
      <w:r>
        <w:t>organisation</w:t>
      </w:r>
      <w:proofErr w:type="spellEnd"/>
      <w:r>
        <w:t xml:space="preserve">: Association </w:t>
      </w:r>
      <w:proofErr w:type="spellStart"/>
      <w:r>
        <w:t>Dinarica</w:t>
      </w:r>
      <w:proofErr w:type="spellEnd"/>
      <w:r>
        <w:t xml:space="preserve"> | Partner: NGO Eco-Team</w:t>
      </w:r>
    </w:p>
    <w:p w14:paraId="12B929D1" w14:textId="77777777" w:rsidR="00603641" w:rsidRDefault="00000000">
      <w:pPr>
        <w:spacing w:after="120"/>
      </w:pPr>
      <w:r>
        <w:t>Countries: Bosnia and Herzegovina and Montenegro | Sector: Carbon removals and sinks</w:t>
      </w:r>
    </w:p>
    <w:p w14:paraId="64860107" w14:textId="77777777" w:rsidR="00603641" w:rsidRDefault="00000000">
      <w:pPr>
        <w:pStyle w:val="Heading1"/>
      </w:pPr>
      <w:r>
        <w:t>A climate asset hidden in plain sight</w:t>
      </w:r>
    </w:p>
    <w:p w14:paraId="03E25C0A" w14:textId="77777777" w:rsidR="00603641" w:rsidRDefault="00000000">
      <w:pPr>
        <w:spacing w:after="120"/>
      </w:pPr>
      <w:r>
        <w:t xml:space="preserve">Peatlands are among the most important natural ecosystems for storing carbon and regulating climate processes. Yet, in Bosnia and Herzegovina and Montenegro, their importance has historically received limited attention in education, public awareness and institutional climate policy. Peatlands were often understood primarily as wetlands and habitats, while their role as natural carbon sinks remained insufficiently </w:t>
      </w:r>
      <w:proofErr w:type="spellStart"/>
      <w:r>
        <w:t>recognised</w:t>
      </w:r>
      <w:proofErr w:type="spellEnd"/>
      <w:r>
        <w:t>.</w:t>
      </w:r>
    </w:p>
    <w:p w14:paraId="1DF18DBA" w14:textId="77777777" w:rsidR="00603641" w:rsidRDefault="00000000">
      <w:pPr>
        <w:spacing w:after="120"/>
      </w:pPr>
      <w:r>
        <w:t xml:space="preserve">The EUKI-supported project set out to change this. Association </w:t>
      </w:r>
      <w:proofErr w:type="spellStart"/>
      <w:r>
        <w:t>Dinarica</w:t>
      </w:r>
      <w:proofErr w:type="spellEnd"/>
      <w:r>
        <w:t xml:space="preserve"> </w:t>
      </w:r>
      <w:r w:rsidR="00142AE4">
        <w:t xml:space="preserve">and partners from Eco-team </w:t>
      </w:r>
      <w:r>
        <w:t>worked to make peatlands more visible—not only through scientific research, but also through education, public engagement and cooperation with institutions. Over the course of the project, this approach led to a broader understanding of the pressures affecting peatland carbon storage, including the role of hydropower infrastructure and water-management decisions.</w:t>
      </w:r>
    </w:p>
    <w:p w14:paraId="56D6E4D9" w14:textId="77777777" w:rsidR="00603641" w:rsidRDefault="00000000">
      <w:pPr>
        <w:pStyle w:val="Heading1"/>
      </w:pPr>
      <w:r>
        <w:t>From mapping peatlands to understanding their climate value</w:t>
      </w:r>
    </w:p>
    <w:p w14:paraId="0D162F3A" w14:textId="77777777" w:rsidR="00603641" w:rsidRDefault="00000000">
      <w:pPr>
        <w:spacing w:after="120"/>
      </w:pPr>
      <w:r>
        <w:t xml:space="preserve">Scientific research, field verification and GIS analysis identified approximately 9,158 hectares of peat soils across two important peatland landscapes in Bosnia and Herzegovina: approximately 7,017 hectares in </w:t>
      </w:r>
      <w:proofErr w:type="spellStart"/>
      <w:r>
        <w:t>Livanjsko</w:t>
      </w:r>
      <w:proofErr w:type="spellEnd"/>
      <w:r>
        <w:t xml:space="preserve"> Polje and 2,141 hectares in </w:t>
      </w:r>
      <w:proofErr w:type="spellStart"/>
      <w:r>
        <w:t>Hutovo</w:t>
      </w:r>
      <w:proofErr w:type="spellEnd"/>
      <w:r>
        <w:t xml:space="preserve"> </w:t>
      </w:r>
      <w:proofErr w:type="spellStart"/>
      <w:r>
        <w:t>Blato</w:t>
      </w:r>
      <w:proofErr w:type="spellEnd"/>
      <w:r>
        <w:t>.</w:t>
      </w:r>
    </w:p>
    <w:p w14:paraId="271E881B" w14:textId="77777777" w:rsidR="00603641" w:rsidRDefault="00000000">
      <w:pPr>
        <w:spacing w:after="120"/>
      </w:pPr>
      <w:r>
        <w:t>The climate significance of these ecosystems is closely linked to water. Peat stores carbon because persistent water saturation keeps soils oxygen-poor and slows decomposition. When groundwater levels fall, oxygen enters the peat, decomposition accelerates and previously stored carbon can be released. Water levels are therefore not only an ecological concern; they are also a critical carbon-control variable.</w:t>
      </w:r>
    </w:p>
    <w:p w14:paraId="59584AF3" w14:textId="77777777" w:rsidR="00603641" w:rsidRDefault="00000000">
      <w:pPr>
        <w:spacing w:after="120"/>
      </w:pPr>
      <w:r>
        <w:t xml:space="preserve">This led </w:t>
      </w:r>
      <w:proofErr w:type="spellStart"/>
      <w:r>
        <w:t>Dinarica</w:t>
      </w:r>
      <w:proofErr w:type="spellEnd"/>
      <w:r>
        <w:t xml:space="preserve"> to move beyond the question of how much carbon peatlands contain and focus on a further question: what is changing the water regime that keeps this carbon stored?</w:t>
      </w:r>
    </w:p>
    <w:p w14:paraId="2B402FA2" w14:textId="77777777" w:rsidR="00603641" w:rsidRDefault="00000000">
      <w:pPr>
        <w:pStyle w:val="Heading1"/>
      </w:pPr>
      <w:r>
        <w:t>Revealing the hidden connection between hydropower and peatland carbon</w:t>
      </w:r>
    </w:p>
    <w:p w14:paraId="58702E25" w14:textId="77777777" w:rsidR="00603641" w:rsidRDefault="00000000">
      <w:pPr>
        <w:spacing w:after="120"/>
      </w:pPr>
      <w:r>
        <w:t xml:space="preserve">Following the water led directly to hydropower. In </w:t>
      </w:r>
      <w:proofErr w:type="spellStart"/>
      <w:r>
        <w:t>Livanjsko</w:t>
      </w:r>
      <w:proofErr w:type="spellEnd"/>
      <w:r>
        <w:t xml:space="preserve"> Polje, the hydrological analysis examined the way the Bistrica, </w:t>
      </w:r>
      <w:proofErr w:type="spellStart"/>
      <w:r>
        <w:t>Žabljak</w:t>
      </w:r>
      <w:proofErr w:type="spellEnd"/>
      <w:r>
        <w:t xml:space="preserve"> and </w:t>
      </w:r>
      <w:proofErr w:type="spellStart"/>
      <w:r>
        <w:t>Šturba</w:t>
      </w:r>
      <w:proofErr w:type="spellEnd"/>
      <w:r>
        <w:t xml:space="preserve"> rivers are routed through energy canals, retentions, pumping infrastructure and the HE </w:t>
      </w:r>
      <w:proofErr w:type="spellStart"/>
      <w:r>
        <w:t>Orlovac</w:t>
      </w:r>
      <w:proofErr w:type="spellEnd"/>
      <w:r>
        <w:t xml:space="preserve"> derivation system. Historical studies cited in the Strategic Guidance estimated average water availability at 28.56 m³/s, of which approximately 24 m³/s was used through </w:t>
      </w:r>
      <w:r>
        <w:lastRenderedPageBreak/>
        <w:t xml:space="preserve">HE </w:t>
      </w:r>
      <w:proofErr w:type="spellStart"/>
      <w:r>
        <w:t>Orlovac</w:t>
      </w:r>
      <w:proofErr w:type="spellEnd"/>
      <w:r>
        <w:t>. The infrastructure also reduced much of the former seasonal water retention that supported wetland and peatland functions.</w:t>
      </w:r>
    </w:p>
    <w:p w14:paraId="62A7288A" w14:textId="77777777" w:rsidR="00603641" w:rsidRDefault="00000000">
      <w:pPr>
        <w:spacing w:after="120"/>
      </w:pPr>
      <w:r>
        <w:t xml:space="preserve">In </w:t>
      </w:r>
      <w:proofErr w:type="spellStart"/>
      <w:r>
        <w:t>Hutovo</w:t>
      </w:r>
      <w:proofErr w:type="spellEnd"/>
      <w:r>
        <w:t xml:space="preserve"> </w:t>
      </w:r>
      <w:proofErr w:type="spellStart"/>
      <w:r>
        <w:t>Blato</w:t>
      </w:r>
      <w:proofErr w:type="spellEnd"/>
      <w:r>
        <w:t xml:space="preserve">, the conversion of the former </w:t>
      </w:r>
      <w:proofErr w:type="spellStart"/>
      <w:r>
        <w:t>Trebišnjica</w:t>
      </w:r>
      <w:proofErr w:type="spellEnd"/>
      <w:r>
        <w:t xml:space="preserve"> riverbed into a lined headrace canal, together with the isolation of major sinkholes, reduced natural recharge to the wetland. Historical records cited in the guidance associate the completion of the hydropower system with a reduction in mean minimum dry-season water levels at the </w:t>
      </w:r>
      <w:proofErr w:type="spellStart"/>
      <w:r>
        <w:t>Karaotok</w:t>
      </w:r>
      <w:proofErr w:type="spellEnd"/>
      <w:r>
        <w:t>–Krupa station from approximately 60 cm to approximately 30 cm.</w:t>
      </w:r>
    </w:p>
    <w:p w14:paraId="41CB33F0" w14:textId="77777777" w:rsidR="00603641" w:rsidRDefault="00000000">
      <w:pPr>
        <w:spacing w:after="120"/>
      </w:pPr>
      <w:r>
        <w:t>The project identified an important, previously overlooked climate pathway: hydropower infrastructure and operating decisions can alter hydrology, contribute to peatland drainage and place stored carbon at risk—even when emissions at the turbine itself are very low.</w:t>
      </w:r>
    </w:p>
    <w:p w14:paraId="2B94570E" w14:textId="77777777" w:rsidR="00603641" w:rsidRDefault="00000000">
      <w:pPr>
        <w:pStyle w:val="Heading1"/>
      </w:pPr>
      <w:r>
        <w:t>The innovation: moving beyond the turbine</w:t>
      </w:r>
    </w:p>
    <w:p w14:paraId="74DC77E5" w14:textId="77777777" w:rsidR="00603641" w:rsidRDefault="00000000">
      <w:pPr>
        <w:spacing w:after="120"/>
      </w:pPr>
      <w:r>
        <w:t>The central innovation was not the established understanding that drained peat can emit greenhouse gases. It was the attribution of that climate impact to the water-management and operating decisions that cause or aggravate drainage.</w:t>
      </w:r>
    </w:p>
    <w:p w14:paraId="48F074CB" w14:textId="77777777" w:rsidR="00603641" w:rsidRDefault="00000000">
      <w:pPr>
        <w:spacing w:after="120"/>
      </w:pPr>
      <w:r>
        <w:t>This approach expands the carbon-accounting perspective from the turbine to the wider catchment. If hydropower infrastructure diverts water, suppresses seasonal hydrology or accelerates drainage, and these changes lead to peat oxidation, the resulting greenhouse-gas impact is connected to the way the electricity system is operated, even if the emissions occur away from the generating facility.</w:t>
      </w:r>
    </w:p>
    <w:p w14:paraId="4BBD591A" w14:textId="77777777" w:rsidR="00603641" w:rsidRDefault="00000000">
      <w:pPr>
        <w:spacing w:after="120"/>
      </w:pPr>
      <w:r>
        <w:t xml:space="preserve">The project has not yet produced a verified annual </w:t>
      </w:r>
      <w:proofErr w:type="spellStart"/>
      <w:r>
        <w:t>tCO₂e</w:t>
      </w:r>
      <w:proofErr w:type="spellEnd"/>
      <w:r>
        <w:t xml:space="preserve"> figure attributable to each operator. Instead, it has established a scientific and hydrological basis for future quantification and translated this into a Measurement, Reporting and Verification (MRV) agenda. This provides a credible framework that can be further </w:t>
      </w:r>
      <w:proofErr w:type="spellStart"/>
      <w:r>
        <w:t>operationalised</w:t>
      </w:r>
      <w:proofErr w:type="spellEnd"/>
      <w:r>
        <w:t>, tested and incorporated into regulation and corporate reporting.</w:t>
      </w:r>
    </w:p>
    <w:p w14:paraId="3A100D9E" w14:textId="77777777" w:rsidR="00603641" w:rsidRDefault="00000000">
      <w:pPr>
        <w:pStyle w:val="Heading1"/>
      </w:pPr>
      <w:r>
        <w:t>When new evidence changed the project itself</w:t>
      </w:r>
    </w:p>
    <w:p w14:paraId="14E731B4" w14:textId="77777777" w:rsidR="00603641" w:rsidRDefault="00000000">
      <w:pPr>
        <w:spacing w:after="120"/>
      </w:pPr>
      <w:r>
        <w:t>One of the clearest signs of innovation-to-impact is that the research findings changed the intervention logic of the project. Hydropower became a dedicated target group, and a new strategic output was introduced to develop guidance for hydropower operators on safeguarding peatlands.</w:t>
      </w:r>
    </w:p>
    <w:p w14:paraId="046A8EED" w14:textId="77777777" w:rsidR="00603641" w:rsidRDefault="00000000">
      <w:pPr>
        <w:spacing w:after="120"/>
      </w:pPr>
      <w:r>
        <w:t>The resulting work combines legal and policy analysis, scientific and economic evidence, engagement with industry, operator guidance, validation and dissemination. It translates peatland and greenhouse-gas evidence into practical measures, including minimum water levels, environmental flows, release timing, monitoring, rewetting and restoration support.</w:t>
      </w:r>
    </w:p>
    <w:p w14:paraId="06F9C6FC" w14:textId="77777777" w:rsidR="00603641" w:rsidRDefault="00000000">
      <w:pPr>
        <w:spacing w:after="120"/>
      </w:pPr>
      <w:r>
        <w:t>The Strategic Guidance does not propose stopping hydropower generation. Instead, it explores how renewable electricity production and peatland protection can become compatible through improved operational rules, ecological thresholds and coordinated water management.</w:t>
      </w:r>
    </w:p>
    <w:p w14:paraId="37535D75" w14:textId="77777777" w:rsidR="00603641" w:rsidRDefault="00000000">
      <w:pPr>
        <w:pStyle w:val="Heading1"/>
      </w:pPr>
      <w:r>
        <w:t>From the classroom to the field—and from knowledge to institutions</w:t>
      </w:r>
    </w:p>
    <w:p w14:paraId="143515EB" w14:textId="77777777" w:rsidR="00603641" w:rsidRDefault="00000000">
      <w:pPr>
        <w:spacing w:after="120"/>
      </w:pPr>
      <w:r>
        <w:t>Scientific and policy change can only be sustained when knowledge reaches the wider public and future generations. For this reason, the project placed particular emphasis on teachers and primary-school students, while also engaging local communities, experts and the business sector.</w:t>
      </w:r>
    </w:p>
    <w:p w14:paraId="539685A0" w14:textId="77777777" w:rsidR="00603641" w:rsidRDefault="00000000">
      <w:pPr>
        <w:spacing w:after="120"/>
      </w:pPr>
      <w:r>
        <w:t xml:space="preserve">A key result was the development of the handbook “Peatlands – Forgotten Heroes of Nature”, available in both printed and online formats. The handbook was designed as a practical resource that teachers </w:t>
      </w:r>
      <w:r>
        <w:lastRenderedPageBreak/>
        <w:t>can continue using after the project ends, including in schools that were not directly involved in the project activities.</w:t>
      </w:r>
    </w:p>
    <w:p w14:paraId="5091403D" w14:textId="77777777" w:rsidR="00603641" w:rsidRDefault="00000000">
      <w:pPr>
        <w:spacing w:after="120"/>
      </w:pPr>
      <w:r>
        <w:t xml:space="preserve">To support teachers, six online workshops were </w:t>
      </w:r>
      <w:proofErr w:type="spellStart"/>
      <w:r>
        <w:t>organised</w:t>
      </w:r>
      <w:proofErr w:type="spellEnd"/>
      <w:r>
        <w:t xml:space="preserve"> for natural-science teachers from four primary schools in Bosnia and Herzegovina and Montenegro—two schools in each country. The project also delivered six field workshops in nature, three in each country, enabling students to experience peatland ecosystems directly and understand the relationship between ecosystem conservation and climate change.</w:t>
      </w:r>
    </w:p>
    <w:p w14:paraId="6F5A3A53" w14:textId="77777777" w:rsidR="00603641" w:rsidRDefault="00000000">
      <w:pPr>
        <w:spacing w:after="120"/>
      </w:pPr>
      <w:r>
        <w:t>In total, the activities reached 16 teachers and 134 students. By combining classroom learning with field experience, the project transformed climate change from an abstract concept into something students could observe, explore and understand in their own surroundings. Interest from additional schools in using the handbook further demonstrated the potential for the results to continue beyond the schools initially involved.</w:t>
      </w:r>
    </w:p>
    <w:p w14:paraId="737C7E02" w14:textId="77777777" w:rsidR="00603641" w:rsidRDefault="00000000">
      <w:pPr>
        <w:pStyle w:val="Heading1"/>
      </w:pPr>
      <w:r>
        <w:t>Connecting project knowledge with public institutions</w:t>
      </w:r>
    </w:p>
    <w:p w14:paraId="09FAF64F" w14:textId="77777777" w:rsidR="00603641" w:rsidRDefault="00000000">
      <w:pPr>
        <w:spacing w:after="120"/>
      </w:pPr>
      <w:r>
        <w:t xml:space="preserve">The project also established ongoing cooperation with the Ministry for Spatial Planning, Construction and Ecology of </w:t>
      </w:r>
      <w:proofErr w:type="spellStart"/>
      <w:r>
        <w:t>Republika</w:t>
      </w:r>
      <w:proofErr w:type="spellEnd"/>
      <w:r>
        <w:t xml:space="preserve"> Srpska. Ministry representatives participated regularly in project workshops and were able to engage with the scientific findings and practical experience generated through the activities.</w:t>
      </w:r>
    </w:p>
    <w:p w14:paraId="7BC7F79B" w14:textId="424C4620" w:rsidR="00603641" w:rsidRPr="00DC0090" w:rsidRDefault="00000000">
      <w:pPr>
        <w:spacing w:after="120"/>
        <w:rPr>
          <w:lang w:val="sr-Latn-ME"/>
        </w:rPr>
      </w:pPr>
      <w:r>
        <w:t xml:space="preserve">An important moment was </w:t>
      </w:r>
      <w:proofErr w:type="spellStart"/>
      <w:r>
        <w:t>Dinarica’s</w:t>
      </w:r>
      <w:proofErr w:type="spellEnd"/>
      <w:r>
        <w:t xml:space="preserve"> contribution to the preparation of the Draft Law on Climate Change, described in the source material as the first document of this kind in Bosnia and Herzegovina. The Director of </w:t>
      </w:r>
      <w:proofErr w:type="spellStart"/>
      <w:r>
        <w:t>Dinarica</w:t>
      </w:r>
      <w:proofErr w:type="spellEnd"/>
      <w:r>
        <w:t>, drawing on expertise in environmental law, provided legal and professional comments on the draft. This created an opportunity to connect project knowledge with an important institutional process in climate policymaking</w:t>
      </w:r>
      <w:r w:rsidR="00F63F22">
        <w:t xml:space="preserve">. Furthermore there was </w:t>
      </w:r>
      <w:r w:rsidR="00F63F22" w:rsidRPr="00F63F22">
        <w:t>success that Eco-team made in the part of the policy, which refers to the integration of peatlands in the Climate Change Adaptation Plan for the period 2025-2035, as part of broader measures to improve the ecosystem's resistance to climate change.</w:t>
      </w:r>
    </w:p>
    <w:p w14:paraId="4172FD61" w14:textId="77777777" w:rsidR="00603641" w:rsidRDefault="00000000">
      <w:pPr>
        <w:spacing w:after="120"/>
      </w:pPr>
      <w:r>
        <w:t>In this way, the project moved beyond individual activities and opened space for continued professional dialogue, stronger institutional cooperation and the broader recognition of peatlands as part of the climate-policy agenda.</w:t>
      </w:r>
    </w:p>
    <w:p w14:paraId="736F46AE" w14:textId="77777777" w:rsidR="00603641" w:rsidRDefault="00000000">
      <w:pPr>
        <w:pStyle w:val="Heading1"/>
      </w:pPr>
      <w:r>
        <w:t>From local ecosystems to wider economic and policy questions</w:t>
      </w:r>
    </w:p>
    <w:p w14:paraId="0EF77641" w14:textId="77777777" w:rsidR="00603641" w:rsidRDefault="00000000">
      <w:pPr>
        <w:spacing w:after="120"/>
      </w:pPr>
      <w:r>
        <w:t>The project’s findings also have relevance for the evolving European climate and energy framework. The inclusion of electricity in the Carbon Border Adjustment Mechanism (CBAM) makes credible emissions information increasingly important for exporters to the European Union. The Strategic Guidance therefore calls for lifecycle greenhouse-gas accounting, verified generation data and transparent carbon methodologies rather than relying on the renewable-energy label alone.</w:t>
      </w:r>
    </w:p>
    <w:p w14:paraId="46804499" w14:textId="77777777" w:rsidR="00603641" w:rsidRDefault="00000000">
      <w:pPr>
        <w:spacing w:after="120"/>
      </w:pPr>
      <w:r>
        <w:t>The project does not claim that current CBAM methodology already assigns emissions from drained peatlands in Bosnia and Herzegovina to a specific hydropower company. Its contribution is forward-looking: it identifies an environmental externality that future carbon accounting, sustainable-finance screening and corporate reporting should be able to capture.</w:t>
      </w:r>
    </w:p>
    <w:p w14:paraId="41D48922" w14:textId="77777777" w:rsidR="00603641" w:rsidRDefault="00000000">
      <w:pPr>
        <w:spacing w:after="120"/>
      </w:pPr>
      <w:r>
        <w:t>This perspective also reframes peatland rewetting. Restoration is not only a conservation cost; it can be understood as climate-risk management, water stewardship and natural-capital protection. The project therefore links peatland science with environmental flows, monitoring, corporate responsibility and long-term restoration finance.</w:t>
      </w:r>
    </w:p>
    <w:p w14:paraId="119DB83E" w14:textId="77777777" w:rsidR="00603641" w:rsidRDefault="00000000">
      <w:pPr>
        <w:pStyle w:val="Heading1"/>
      </w:pPr>
      <w:r>
        <w:lastRenderedPageBreak/>
        <w:t>Impact achieved and change still being pursued</w:t>
      </w:r>
    </w:p>
    <w:p w14:paraId="6AB1E2A9" w14:textId="77777777" w:rsidR="00603641" w:rsidRDefault="00000000">
      <w:pPr>
        <w:spacing w:after="120"/>
      </w:pPr>
      <w:r>
        <w:t xml:space="preserve">Through EUKI support, </w:t>
      </w:r>
      <w:proofErr w:type="spellStart"/>
      <w:r>
        <w:t>Dinarica</w:t>
      </w:r>
      <w:proofErr w:type="spellEnd"/>
      <w:r>
        <w:t xml:space="preserve"> and </w:t>
      </w:r>
      <w:r w:rsidR="00142AE4">
        <w:t>Eco-team</w:t>
      </w:r>
      <w:r>
        <w:t xml:space="preserve"> have:</w:t>
      </w:r>
    </w:p>
    <w:p w14:paraId="455159D1" w14:textId="486EFE16" w:rsidR="00603641" w:rsidRDefault="00000000">
      <w:pPr>
        <w:spacing w:after="120"/>
      </w:pPr>
      <w:r>
        <w:t>• Mapped and spatially defined an important peatland carbon asset in Bosnia and Herzegovina</w:t>
      </w:r>
      <w:r w:rsidR="00F63F22">
        <w:t xml:space="preserve"> and Montenegro.</w:t>
      </w:r>
    </w:p>
    <w:p w14:paraId="5CEF7A65" w14:textId="36BA6715" w:rsidR="00603641" w:rsidRDefault="00000000">
      <w:pPr>
        <w:spacing w:after="120"/>
      </w:pPr>
      <w:r>
        <w:t>• Strengthened understanding of the hydrological relationship between peatland degradation and hydropower infrastructure and operating rules</w:t>
      </w:r>
      <w:r w:rsidR="00F63F22">
        <w:t xml:space="preserve"> </w:t>
      </w:r>
      <w:r w:rsidR="00F63F22">
        <w:rPr>
          <w:lang w:val="sr-Latn-ME"/>
        </w:rPr>
        <w:t>as well as general relationship between peatland degradion and climate change</w:t>
      </w:r>
      <w:r w:rsidR="00F63F22">
        <w:rPr>
          <w:lang w:val="sr-Latn-ME"/>
        </w:rPr>
        <w:t>.</w:t>
      </w:r>
    </w:p>
    <w:p w14:paraId="6A375BDE" w14:textId="77777777" w:rsidR="00603641" w:rsidRDefault="00000000">
      <w:pPr>
        <w:spacing w:after="120"/>
      </w:pPr>
      <w:r>
        <w:t>• Changed the project architecture by introducing hydropower as a dedicated target group and creating a strategic guidance output.</w:t>
      </w:r>
    </w:p>
    <w:p w14:paraId="68CC320E" w14:textId="77777777" w:rsidR="00603641" w:rsidRDefault="00000000">
      <w:pPr>
        <w:spacing w:after="120"/>
      </w:pPr>
      <w:r>
        <w:t>• Developed practical guidance addressing environmental flows, groundwater protection, rewetting, monitoring and MRV.</w:t>
      </w:r>
    </w:p>
    <w:p w14:paraId="7CA93E31" w14:textId="77777777" w:rsidR="00603641" w:rsidRDefault="00000000">
      <w:pPr>
        <w:spacing w:after="120"/>
      </w:pPr>
      <w:r>
        <w:t>• Reached 16 teachers and 134 students through teacher training and field-based learning.</w:t>
      </w:r>
    </w:p>
    <w:p w14:paraId="03C3C85A" w14:textId="77777777" w:rsidR="00603641" w:rsidRDefault="00000000">
      <w:pPr>
        <w:spacing w:after="120"/>
      </w:pPr>
      <w:r>
        <w:t>• Produced a reusable educational handbook available in printed and online formats.</w:t>
      </w:r>
    </w:p>
    <w:p w14:paraId="08E9E390" w14:textId="77777777" w:rsidR="00603641" w:rsidRDefault="00000000">
      <w:pPr>
        <w:spacing w:after="120"/>
      </w:pPr>
      <w:r>
        <w:t>• Strengthened cooperation with public institutions and connected project knowledge with climate-policy processes.</w:t>
      </w:r>
    </w:p>
    <w:p w14:paraId="0FCBCE00" w14:textId="77777777" w:rsidR="00603641" w:rsidRDefault="00000000">
      <w:pPr>
        <w:spacing w:after="120"/>
      </w:pPr>
      <w:r>
        <w:t>The next stage is to validate site-specific environmental-flow and groundwater thresholds, secure operator participation in controlled rewetting and adaptive-management pilots, improve accounting for material indirect greenhouse-gas impacts, and support the recognition of peatlands in climate, water-management, licensing and investment frameworks.</w:t>
      </w:r>
    </w:p>
    <w:p w14:paraId="18AAA2CE" w14:textId="77777777" w:rsidR="00603641" w:rsidRDefault="00000000">
      <w:pPr>
        <w:pStyle w:val="Heading1"/>
      </w:pPr>
      <w:r>
        <w:t>Why this is an EUKI Success Story</w:t>
      </w:r>
    </w:p>
    <w:p w14:paraId="65347347" w14:textId="77777777" w:rsidR="00603641" w:rsidRDefault="00000000">
      <w:pPr>
        <w:spacing w:after="120"/>
      </w:pPr>
      <w:r>
        <w:t>EUKI support enabled more than a technical study or a set of awareness-raising activities. It supported a learning process in which evidence changed the understanding of the problem—and that new understanding changed the project’s strategy.</w:t>
      </w:r>
    </w:p>
    <w:p w14:paraId="28375EB5" w14:textId="77777777" w:rsidR="00603641" w:rsidRDefault="00000000">
      <w:pPr>
        <w:spacing w:after="120"/>
      </w:pPr>
      <w:r>
        <w:t>The project began with the question of how Dinaric karst peatlands could contribute to greenhouse-gas sequestration. It then revealed that protecting this carbon stock requires attention to hydropower and water management. At the same time, it demonstrated that long-term change depends on education, public awareness and institutional engagement.</w:t>
      </w:r>
    </w:p>
    <w:p w14:paraId="6F391F84" w14:textId="77777777" w:rsidR="00603641" w:rsidRDefault="00000000">
      <w:pPr>
        <w:spacing w:after="120"/>
      </w:pPr>
      <w:r>
        <w:t>The resulting model connects several levels: research and field verification, learning in schools, public communication, cooperation with institutions, and practical guidance for economic actors. Peatlands are no longer addressed solely as isolated ecosystems, but as part of a wider response to climate change, responsible resource management and sustainable development.</w:t>
      </w:r>
    </w:p>
    <w:p w14:paraId="7D7AFC04" w14:textId="5A618DD0" w:rsidR="00603641" w:rsidRDefault="00000000">
      <w:pPr>
        <w:spacing w:after="120"/>
      </w:pPr>
      <w:r>
        <w:t>The approach has potential for replication in other Western Balkan and European catchments where hydropower operations</w:t>
      </w:r>
      <w:r w:rsidR="00F63F22">
        <w:rPr>
          <w:rStyle w:val="CommentReference"/>
          <w:sz w:val="21"/>
          <w:szCs w:val="22"/>
        </w:rPr>
        <w:t xml:space="preserve"> </w:t>
      </w:r>
      <w:r w:rsidR="00F63F22">
        <w:rPr>
          <w:lang w:val="sr-Latn-ME"/>
        </w:rPr>
        <w:t>and other anthropogenic activities</w:t>
      </w:r>
      <w:r w:rsidR="00F63F22">
        <w:t xml:space="preserve"> i</w:t>
      </w:r>
      <w:r>
        <w:t>nteract with peatlands, wetlands or organic soils. Its core method is transferable: map the carbon asset, trace the hydrological dependency, identify material impacts, define ecological operating thresholds, measure outcomes and integrate the findings into governance, education and finance.</w:t>
      </w:r>
    </w:p>
    <w:p w14:paraId="72232966" w14:textId="77777777" w:rsidR="00603641" w:rsidRDefault="00000000">
      <w:pPr>
        <w:pStyle w:val="Heading1"/>
      </w:pPr>
      <w:r>
        <w:lastRenderedPageBreak/>
        <w:t>The message for the next phase</w:t>
      </w:r>
    </w:p>
    <w:p w14:paraId="49F82950" w14:textId="77777777" w:rsidR="00603641" w:rsidRDefault="00000000">
      <w:pPr>
        <w:spacing w:after="120"/>
      </w:pPr>
      <w:r>
        <w:t>Peatlands may be described as the forgotten heroes of nature, but they are becoming increasingly visible in scientific, educational and institutional discussions. Through EUKI support, the story began in the field, continued in classrooms, expanded into public awareness and reached policy processes.</w:t>
      </w:r>
    </w:p>
    <w:p w14:paraId="5055B442" w14:textId="77777777" w:rsidR="00603641" w:rsidRDefault="00000000">
      <w:pPr>
        <w:spacing w:after="120"/>
      </w:pPr>
      <w:r>
        <w:t>The project’s experience shows that meaningful change does not always begin with large systemic reforms. It can begin when a student encounters an ecosystem, understands its value and carries that knowledge into the wider community. It can also begin when scientific evidence reveals a previously overlooked connection between water management, energy production and climate impacts.</w:t>
      </w:r>
    </w:p>
    <w:p w14:paraId="02F12BC9" w14:textId="77777777" w:rsidR="00603641" w:rsidRDefault="00000000">
      <w:pPr>
        <w:spacing w:after="120"/>
      </w:pPr>
      <w:r>
        <w:t xml:space="preserve">The turbine may emit very little carbon, but the wider catchment may still be at risk. By making this distinction visible, measurable and actionable, Association </w:t>
      </w:r>
      <w:proofErr w:type="spellStart"/>
      <w:r>
        <w:t>Dinarica</w:t>
      </w:r>
      <w:proofErr w:type="spellEnd"/>
      <w:r>
        <w:t xml:space="preserve"> has opened a pathway towards more informed hydropower governance, stronger peatland protection and a more integrated climate agenda for Bosnia and Herzegovina and the wider region.</w:t>
      </w:r>
    </w:p>
    <w:p w14:paraId="79296F65" w14:textId="77777777" w:rsidR="00603641" w:rsidRDefault="00000000">
      <w:pPr>
        <w:spacing w:after="120"/>
      </w:pPr>
      <w:r>
        <w:t>EUKI support helped turn a relatively overlooked ecosystem into a shared subject of learning, research, institutional dialogue and operational climate action.</w:t>
      </w:r>
    </w:p>
    <w:sectPr w:rsidR="00603641" w:rsidSect="00034616">
      <w:pgSz w:w="12240" w:h="15840"/>
      <w:pgMar w:top="1080" w:right="1296" w:bottom="1080" w:left="1296"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decorative"/>
    <w:pitch w:val="variable"/>
    <w:sig w:usb0="00000003" w:usb1="10000000" w:usb2="00000000" w:usb3="00000000" w:csb0="80000001"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2FF" w:usb1="400004FF" w:usb2="00000000"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 w:name="Arial">
    <w:panose1 w:val="020B0604020202020204"/>
    <w:charset w:val="00"/>
    <w:family w:val="swiss"/>
    <w:pitch w:val="variable"/>
    <w:sig w:usb0="E0002AFF" w:usb1="C0007843" w:usb2="00000009" w:usb3="00000000" w:csb0="000001FF" w:csb1="00000000"/>
  </w:font>
  <w:font w:name="Calibri">
    <w:panose1 w:val="020F0502020204030204"/>
    <w:charset w:val="00"/>
    <w:family w:val="swiss"/>
    <w:pitch w:val="variable"/>
    <w:sig w:usb0="E0002AFF" w:usb1="C000ACFF"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ourier">
    <w:panose1 w:val="00000000000000000000"/>
    <w:charset w:val="00"/>
    <w:family w:val="auto"/>
    <w:pitch w:val="variable"/>
    <w:sig w:usb0="00000003" w:usb1="00000000" w:usb2="00000000" w:usb3="00000000" w:csb0="00000001"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16cid:durableId="1147015255">
    <w:abstractNumId w:val="8"/>
  </w:num>
  <w:num w:numId="2" w16cid:durableId="1269970219">
    <w:abstractNumId w:val="6"/>
  </w:num>
  <w:num w:numId="3" w16cid:durableId="1590306507">
    <w:abstractNumId w:val="5"/>
  </w:num>
  <w:num w:numId="4" w16cid:durableId="1441995126">
    <w:abstractNumId w:val="4"/>
  </w:num>
  <w:num w:numId="5" w16cid:durableId="1092816737">
    <w:abstractNumId w:val="7"/>
  </w:num>
  <w:num w:numId="6" w16cid:durableId="1791892725">
    <w:abstractNumId w:val="3"/>
  </w:num>
  <w:num w:numId="7" w16cid:durableId="813792410">
    <w:abstractNumId w:val="2"/>
  </w:num>
  <w:num w:numId="8" w16cid:durableId="775250356">
    <w:abstractNumId w:val="1"/>
  </w:num>
  <w:num w:numId="9" w16cid:durableId="1508638777">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224"/>
  <w:proofState w:spelling="clean" w:grammar="clean"/>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47730"/>
    <w:rsid w:val="00034616"/>
    <w:rsid w:val="0006063C"/>
    <w:rsid w:val="00142AE4"/>
    <w:rsid w:val="0015074B"/>
    <w:rsid w:val="0029639D"/>
    <w:rsid w:val="00326F90"/>
    <w:rsid w:val="00603641"/>
    <w:rsid w:val="006E0B5C"/>
    <w:rsid w:val="00AA1D8D"/>
    <w:rsid w:val="00B47730"/>
    <w:rsid w:val="00C03108"/>
    <w:rsid w:val="00CB0664"/>
    <w:rsid w:val="00DC0090"/>
    <w:rsid w:val="00DF42EF"/>
    <w:rsid w:val="00F63F22"/>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5B4F66FA"/>
  <w14:defaultImageDpi w14:val="300"/>
  <w15:docId w15:val="{ED1991F6-3451-5A48-B17C-60447317721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C693F"/>
    <w:rPr>
      <w:rFonts w:ascii="Arial" w:eastAsia="Arial" w:hAnsi="Arial"/>
      <w:sz w:val="21"/>
    </w:rPr>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30"/>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4"/>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44"/>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Borders>
        <w:top w:val="single" w:sz="8" w:space="0" w:color="4F81BD" w:themeColor="accent1"/>
        <w:bottom w:val="single" w:sz="8" w:space="0" w:color="4F81BD" w:themeColor="accent1"/>
      </w:tblBorders>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Borders>
        <w:top w:val="single" w:sz="8" w:space="0" w:color="C0504D" w:themeColor="accent2"/>
        <w:bottom w:val="single" w:sz="8" w:space="0" w:color="C0504D" w:themeColor="accent2"/>
      </w:tblBorders>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Borders>
        <w:top w:val="single" w:sz="8" w:space="0" w:color="9BBB59" w:themeColor="accent3"/>
        <w:bottom w:val="single" w:sz="8" w:space="0" w:color="9BBB59" w:themeColor="accent3"/>
      </w:tblBorders>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Borders>
        <w:top w:val="single" w:sz="8" w:space="0" w:color="8064A2" w:themeColor="accent4"/>
        <w:bottom w:val="single" w:sz="8" w:space="0" w:color="8064A2" w:themeColor="accent4"/>
      </w:tblBorders>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Borders>
        <w:top w:val="single" w:sz="8" w:space="0" w:color="4BACC6" w:themeColor="accent5"/>
        <w:bottom w:val="single" w:sz="8" w:space="0" w:color="4BACC6" w:themeColor="accent5"/>
      </w:tblBorders>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Borders>
        <w:top w:val="single" w:sz="8" w:space="0" w:color="F79646" w:themeColor="accent6"/>
        <w:bottom w:val="single" w:sz="8" w:space="0" w:color="F79646" w:themeColor="accent6"/>
      </w:tblBorders>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Borders>
        <w:top w:val="single" w:sz="8" w:space="0" w:color="4F81BD" w:themeColor="accent1"/>
        <w:bottom w:val="single" w:sz="8" w:space="0" w:color="4F81BD" w:themeColor="accent1"/>
      </w:tblBorders>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Borders>
        <w:top w:val="single" w:sz="8" w:space="0" w:color="C0504D" w:themeColor="accent2"/>
        <w:bottom w:val="single" w:sz="8" w:space="0" w:color="C0504D" w:themeColor="accent2"/>
      </w:tblBorders>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Borders>
        <w:top w:val="single" w:sz="8" w:space="0" w:color="9BBB59" w:themeColor="accent3"/>
        <w:bottom w:val="single" w:sz="8" w:space="0" w:color="9BBB59" w:themeColor="accent3"/>
      </w:tblBorders>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Borders>
        <w:top w:val="single" w:sz="8" w:space="0" w:color="8064A2" w:themeColor="accent4"/>
        <w:bottom w:val="single" w:sz="8" w:space="0" w:color="8064A2" w:themeColor="accent4"/>
      </w:tblBorders>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Borders>
        <w:top w:val="single" w:sz="8" w:space="0" w:color="4BACC6" w:themeColor="accent5"/>
        <w:bottom w:val="single" w:sz="8" w:space="0" w:color="4BACC6" w:themeColor="accent5"/>
      </w:tblBorders>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Borders>
        <w:top w:val="single" w:sz="8" w:space="0" w:color="F79646" w:themeColor="accent6"/>
        <w:bottom w:val="single" w:sz="8" w:space="0" w:color="F79646" w:themeColor="accent6"/>
      </w:tblBorders>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urfulShading">
    <w:name w:val="Colorful Shading"/>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urfulShadingAccent1">
    <w:name w:val="Colorful Shading Accent 1"/>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urfulShadingAccent2">
    <w:name w:val="Colorful Shading Accent 2"/>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urfulShadingAccent3">
    <w:name w:val="Colorful Shading Accent 3"/>
    <w:basedOn w:val="TableNormal"/>
    <w:uiPriority w:val="71"/>
    <w:rsid w:val="00CB0664"/>
    <w:pPr>
      <w:spacing w:after="0" w:line="240" w:lineRule="auto"/>
    </w:pPr>
    <w:rPr>
      <w:color w:val="000000" w:themeColor="text1"/>
    </w:rPr>
    <w:tblPr>
      <w:tblStyleRowBandSize w:val="1"/>
      <w:tblStyleColBandSize w:val="1"/>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urfulShadingAccent4">
    <w:name w:val="Colorful Shading Accent 4"/>
    <w:basedOn w:val="TableNormal"/>
    <w:uiPriority w:val="71"/>
    <w:rsid w:val="00CB0664"/>
    <w:pPr>
      <w:spacing w:after="0" w:line="240" w:lineRule="auto"/>
    </w:pPr>
    <w:rPr>
      <w:color w:val="000000" w:themeColor="text1"/>
    </w:rPr>
    <w:tblPr>
      <w:tblStyleRowBandSize w:val="1"/>
      <w:tblStyleColBandSize w:val="1"/>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urfulShadingAccent5">
    <w:name w:val="Colorful Shading Accent 5"/>
    <w:basedOn w:val="TableNormal"/>
    <w:uiPriority w:val="71"/>
    <w:rsid w:val="00CB0664"/>
    <w:pPr>
      <w:spacing w:after="0" w:line="240" w:lineRule="auto"/>
    </w:pPr>
    <w:rPr>
      <w:color w:val="000000" w:themeColor="text1"/>
    </w:rPr>
    <w:tblPr>
      <w:tblStyleRowBandSize w:val="1"/>
      <w:tblStyleColBandSize w:val="1"/>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urfulShadingAccent6">
    <w:name w:val="Colorful Shading Accent 6"/>
    <w:basedOn w:val="TableNormal"/>
    <w:uiPriority w:val="71"/>
    <w:rsid w:val="00CB0664"/>
    <w:pPr>
      <w:spacing w:after="0" w:line="240" w:lineRule="auto"/>
    </w:pPr>
    <w:rPr>
      <w:color w:val="000000" w:themeColor="text1"/>
    </w:rPr>
    <w:tblPr>
      <w:tblStyleRowBandSize w:val="1"/>
      <w:tblStyleColBandSize w:val="1"/>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urfulList">
    <w:name w:val="Colorful List"/>
    <w:basedOn w:val="TableNormal"/>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urfulListAccent1">
    <w:name w:val="Colorful List Accent 1"/>
    <w:basedOn w:val="TableNormal"/>
    <w:uiPriority w:val="72"/>
    <w:rsid w:val="00CB0664"/>
    <w:pPr>
      <w:spacing w:after="0" w:line="240" w:lineRule="auto"/>
    </w:pPr>
    <w:rPr>
      <w:color w:val="000000" w:themeColor="text1"/>
    </w:rPr>
    <w:tblPr>
      <w:tblStyleRowBandSize w:val="1"/>
      <w:tblStyleColBandSize w:val="1"/>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urfulListAccent2">
    <w:name w:val="Colorful List Accent 2"/>
    <w:basedOn w:val="TableNormal"/>
    <w:uiPriority w:val="72"/>
    <w:rsid w:val="00CB0664"/>
    <w:pPr>
      <w:spacing w:after="0" w:line="240" w:lineRule="auto"/>
    </w:pPr>
    <w:rPr>
      <w:color w:val="000000" w:themeColor="text1"/>
    </w:rPr>
    <w:tblPr>
      <w:tblStyleRowBandSize w:val="1"/>
      <w:tblStyleColBandSize w:val="1"/>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urfulListAccent3">
    <w:name w:val="Colorful List Accent 3"/>
    <w:basedOn w:val="TableNormal"/>
    <w:uiPriority w:val="72"/>
    <w:rsid w:val="00CB0664"/>
    <w:pPr>
      <w:spacing w:after="0" w:line="240" w:lineRule="auto"/>
    </w:pPr>
    <w:rPr>
      <w:color w:val="000000" w:themeColor="text1"/>
    </w:rPr>
    <w:tblPr>
      <w:tblStyleRowBandSize w:val="1"/>
      <w:tblStyleColBandSize w:val="1"/>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urfulListAccent4">
    <w:name w:val="Colorful List Accent 4"/>
    <w:basedOn w:val="TableNormal"/>
    <w:uiPriority w:val="72"/>
    <w:rsid w:val="00CB0664"/>
    <w:pPr>
      <w:spacing w:after="0" w:line="240" w:lineRule="auto"/>
    </w:pPr>
    <w:rPr>
      <w:color w:val="000000" w:themeColor="text1"/>
    </w:rPr>
    <w:tblPr>
      <w:tblStyleRowBandSize w:val="1"/>
      <w:tblStyleColBandSize w:val="1"/>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urfulListAccent5">
    <w:name w:val="Colorful List Accent 5"/>
    <w:basedOn w:val="TableNormal"/>
    <w:uiPriority w:val="72"/>
    <w:rsid w:val="00CB0664"/>
    <w:pPr>
      <w:spacing w:after="0" w:line="240" w:lineRule="auto"/>
    </w:pPr>
    <w:rPr>
      <w:color w:val="000000" w:themeColor="text1"/>
    </w:rPr>
    <w:tblPr>
      <w:tblStyleRowBandSize w:val="1"/>
      <w:tblStyleColBandSize w:val="1"/>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urfulListAccent6">
    <w:name w:val="Colorful List Accent 6"/>
    <w:basedOn w:val="TableNormal"/>
    <w:uiPriority w:val="72"/>
    <w:rsid w:val="00CB0664"/>
    <w:pPr>
      <w:spacing w:after="0" w:line="240" w:lineRule="auto"/>
    </w:pPr>
    <w:rPr>
      <w:color w:val="000000" w:themeColor="text1"/>
    </w:rPr>
    <w:tblPr>
      <w:tblStyleRowBandSize w:val="1"/>
      <w:tblStyleColBandSize w:val="1"/>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urfulGrid">
    <w:name w:val="Colorful Grid"/>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urfulGridAccent1">
    <w:name w:val="Colorful Grid Accent 1"/>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urfulGridAccent2">
    <w:name w:val="Colorful Grid Accent 2"/>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urfulGridAccent3">
    <w:name w:val="Colorful Grid Accent 3"/>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urfulGridAccent4">
    <w:name w:val="Colorful Grid Accent 4"/>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urfulGridAccent5">
    <w:name w:val="Colorful Grid Accent 5"/>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urfulGridAccent6">
    <w:name w:val="Colorful Grid Accent 6"/>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character" w:styleId="CommentReference">
    <w:name w:val="annotation reference"/>
    <w:basedOn w:val="DefaultParagraphFont"/>
    <w:uiPriority w:val="99"/>
    <w:semiHidden/>
    <w:unhideWhenUsed/>
    <w:rsid w:val="00DC0090"/>
    <w:rPr>
      <w:sz w:val="16"/>
      <w:szCs w:val="16"/>
    </w:rPr>
  </w:style>
  <w:style w:type="paragraph" w:styleId="CommentText">
    <w:name w:val="annotation text"/>
    <w:basedOn w:val="Normal"/>
    <w:link w:val="CommentTextChar"/>
    <w:uiPriority w:val="99"/>
    <w:unhideWhenUsed/>
    <w:rsid w:val="00DC0090"/>
    <w:pPr>
      <w:spacing w:line="240" w:lineRule="auto"/>
    </w:pPr>
    <w:rPr>
      <w:sz w:val="20"/>
      <w:szCs w:val="20"/>
    </w:rPr>
  </w:style>
  <w:style w:type="character" w:customStyle="1" w:styleId="CommentTextChar">
    <w:name w:val="Comment Text Char"/>
    <w:basedOn w:val="DefaultParagraphFont"/>
    <w:link w:val="CommentText"/>
    <w:uiPriority w:val="99"/>
    <w:rsid w:val="00DC0090"/>
    <w:rPr>
      <w:rFonts w:ascii="Arial" w:eastAsia="Arial" w:hAnsi="Arial"/>
      <w:sz w:val="20"/>
      <w:szCs w:val="20"/>
    </w:rPr>
  </w:style>
  <w:style w:type="paragraph" w:styleId="CommentSubject">
    <w:name w:val="annotation subject"/>
    <w:basedOn w:val="CommentText"/>
    <w:next w:val="CommentText"/>
    <w:link w:val="CommentSubjectChar"/>
    <w:uiPriority w:val="99"/>
    <w:semiHidden/>
    <w:unhideWhenUsed/>
    <w:rsid w:val="00DC0090"/>
    <w:rPr>
      <w:b/>
      <w:bCs/>
    </w:rPr>
  </w:style>
  <w:style w:type="character" w:customStyle="1" w:styleId="CommentSubjectChar">
    <w:name w:val="Comment Subject Char"/>
    <w:basedOn w:val="CommentTextChar"/>
    <w:link w:val="CommentSubject"/>
    <w:uiPriority w:val="99"/>
    <w:semiHidden/>
    <w:rsid w:val="00DC0090"/>
    <w:rPr>
      <w:rFonts w:ascii="Arial" w:eastAsia="Arial" w:hAnsi="Arial"/>
      <w:b/>
      <w:bCs/>
      <w:sz w:val="20"/>
      <w:szCs w:val="20"/>
    </w:rPr>
  </w:style>
  <w:style w:type="paragraph" w:styleId="Revision">
    <w:name w:val="Revision"/>
    <w:hidden/>
    <w:uiPriority w:val="99"/>
    <w:semiHidden/>
    <w:rsid w:val="00F63F22"/>
    <w:pPr>
      <w:spacing w:after="0" w:line="240" w:lineRule="auto"/>
    </w:pPr>
    <w:rPr>
      <w:rFonts w:ascii="Arial" w:eastAsia="Arial" w:hAnsi="Arial"/>
      <w:sz w:val="21"/>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allowPNG/>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5</TotalTime>
  <Pages>5</Pages>
  <Words>2047</Words>
  <Characters>11674</Characters>
  <Application>Microsoft Office Word</Application>
  <DocSecurity>0</DocSecurity>
  <Lines>97</Lines>
  <Paragraphs>27</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13694</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Microsoft Office User</cp:lastModifiedBy>
  <cp:revision>2</cp:revision>
  <dcterms:created xsi:type="dcterms:W3CDTF">2026-10-19T08:38:00Z</dcterms:created>
  <dcterms:modified xsi:type="dcterms:W3CDTF">2026-10-19T08:38:00Z</dcterms:modified>
  <cp:category/>
</cp:coreProperties>
</file>