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03641" w:rsidRDefault="00000000">
      <w:pPr>
        <w:pStyle w:val="Title"/>
        <w:jc w:val="center"/>
      </w:pPr>
      <w:r>
        <w:rPr>
          <w:b/>
        </w:rPr>
        <w:t>OD ZABORAVLJENIH EKOSUSTAVA DO DJELOVANJA ZA KLIMU</w:t>
      </w:r>
    </w:p>
    <w:p w:rsidR="00603641" w:rsidRDefault="00000000">
      <w:pPr>
        <w:jc w:val="center"/>
      </w:pPr>
      <w:r>
        <w:rPr>
          <w:i/>
        </w:rPr>
        <w:t xml:space="preserve">Kako je potpora EUKI-ja omogućila Udruzi Dinarica povezivanje znanosti o tresetištima, obrazovanja, upravljanja hidroenergijom i institucionalnih promjena u Bosni i </w:t>
      </w:r>
      <w:proofErr w:type="spellStart"/>
      <w:r>
        <w:rPr>
          <w:i/>
        </w:rPr>
        <w:t>Hercegovini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i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Crnoj</w:t>
      </w:r>
      <w:proofErr w:type="spellEnd"/>
      <w:r>
        <w:rPr>
          <w:i/>
        </w:rPr>
        <w:t xml:space="preserve"> Gori</w:t>
      </w:r>
    </w:p>
    <w:p w:rsidR="00603641" w:rsidRDefault="00000000">
      <w:pPr>
        <w:spacing w:after="120"/>
      </w:pPr>
      <w:r>
        <w:rPr>
          <w:b/>
        </w:rPr>
        <w:t>EUROPSKA KLIMATSKA INICIJATIVA (EUKI) | PROJEKT 23_052 | RUJAN 2026.</w:t>
      </w:r>
    </w:p>
    <w:p w:rsidR="00603641" w:rsidRDefault="00000000">
      <w:pPr>
        <w:spacing w:after="120"/>
      </w:pPr>
      <w:r>
        <w:t>Projekt: Povećanje kapaciteta sekvestracije stakleničkih plinova u tresetištima dinarskog krša</w:t>
      </w:r>
    </w:p>
    <w:p w:rsidR="00603641" w:rsidRDefault="00000000">
      <w:pPr>
        <w:spacing w:after="120"/>
      </w:pPr>
      <w:r>
        <w:t xml:space="preserve">Vodeća organizacija: Udruga Dinarica | Partner: </w:t>
      </w:r>
      <w:proofErr w:type="spellStart"/>
      <w:r>
        <w:t>nevladina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Eco-Team</w:t>
      </w:r>
    </w:p>
    <w:p w:rsidR="00603641" w:rsidRDefault="00000000">
      <w:pPr>
        <w:spacing w:after="120"/>
      </w:pPr>
      <w:r>
        <w:t>Zemlje: Bosna i Hercegovina i Crna Gora | Sektor: Uklanjanje ugljika i ponori ugljika</w:t>
      </w:r>
    </w:p>
    <w:p w:rsidR="00603641" w:rsidRDefault="00000000">
      <w:pPr>
        <w:pStyle w:val="Heading1"/>
      </w:pPr>
      <w:r>
        <w:t>Klimatska vrijednost skrivena naočigled svima</w:t>
      </w:r>
    </w:p>
    <w:p w:rsidR="00603641" w:rsidRDefault="00000000">
      <w:pPr>
        <w:spacing w:after="120"/>
      </w:pPr>
      <w:r>
        <w:t xml:space="preserve">Tresetišta su među najvažnijim prirodnim ekosustavima za skladištenje ugljika i reguliranje klimatskih procesa. Ipak, u Bosni i Hercegovini i Crnoj Gori njihova je važnost povijesno bila nedovoljno zastupljena u obrazovanju, podizanju javne svijesti i institucionalnim klimatskim politikama. Tresetišta su se često promatrala prvenstveno kao močvarna područja i staništa, dok njihova uloga prirodnih ponora ugljika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bila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prepoznata</w:t>
      </w:r>
      <w:proofErr w:type="spellEnd"/>
      <w:r>
        <w:t>.</w:t>
      </w:r>
    </w:p>
    <w:p w:rsidR="00603641" w:rsidRDefault="00000000">
      <w:pPr>
        <w:spacing w:after="120"/>
      </w:pPr>
      <w:r>
        <w:t xml:space="preserve">Projekt koji je podržao EUKI nastojao je to promijeniti. Udruga Dinarica i partneri iz organizacije Eco-Team radili su na tome da tresetišta postanu vidljivija, ne samo kroz znanstvena istraživanja nego i kroz obrazovanje, uključivanje javnosti i suradnju s institucijama. Tijekom projekta takav je pristup doveo do šireg razumijevanja pritisaka koji utječu na skladištenje ugljika u tresetištima, uključujući ulogu hidroenergetske infrastrukture i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vodama</w:t>
      </w:r>
      <w:proofErr w:type="spellEnd"/>
      <w:r>
        <w:t>.</w:t>
      </w:r>
    </w:p>
    <w:p w:rsidR="00603641" w:rsidRDefault="00000000">
      <w:pPr>
        <w:pStyle w:val="Heading1"/>
      </w:pPr>
      <w:r>
        <w:t>Od kartiranja tresetišta do razumijevanja njihove klimatske vrijednosti</w:t>
      </w:r>
    </w:p>
    <w:p w:rsidR="00603641" w:rsidRDefault="00000000">
      <w:pPr>
        <w:spacing w:after="120"/>
      </w:pPr>
      <w:r>
        <w:t xml:space="preserve">Znanstvena istraživanja, terenska provjera i GIS analiza utvrdili su približno 9.158 hektara tresetnih tala na dvama važnim područjima tresetišta u Bosni i Hercegovini: približno 7.017 hektara u Livanjskom polju i 2.141 </w:t>
      </w:r>
      <w:proofErr w:type="spellStart"/>
      <w:r>
        <w:t>hektar</w:t>
      </w:r>
      <w:proofErr w:type="spellEnd"/>
      <w:r>
        <w:t xml:space="preserve"> u </w:t>
      </w:r>
      <w:proofErr w:type="spellStart"/>
      <w:r>
        <w:t>Hutovu</w:t>
      </w:r>
      <w:proofErr w:type="spellEnd"/>
      <w:r>
        <w:t xml:space="preserve"> </w:t>
      </w:r>
      <w:proofErr w:type="spellStart"/>
      <w:r>
        <w:t>blatu</w:t>
      </w:r>
      <w:proofErr w:type="spellEnd"/>
      <w:r>
        <w:t>.</w:t>
      </w:r>
    </w:p>
    <w:p w:rsidR="00603641" w:rsidRDefault="00000000">
      <w:pPr>
        <w:spacing w:after="120"/>
      </w:pPr>
      <w:r>
        <w:t>Klimatska važnost ovih ekosustava usko je povezana s vodom. Treset skladišti ugljik jer trajna zasićenost vodom održava tlo siromašnim kisikom i usporava razgradnju. Kada razina podzemnih voda padne, kisik prodire u treset, razgradnja se ubrzava i prethodno pohranjeni ugljik može se osloboditi. Razina vode stoga nije samo ekološko pitanje nego i ključna varijabla za kontrolu ugljika.</w:t>
      </w:r>
    </w:p>
    <w:p w:rsidR="00603641" w:rsidRDefault="00000000">
      <w:pPr>
        <w:spacing w:after="120"/>
      </w:pPr>
      <w:r>
        <w:t xml:space="preserve">To je potaknulo Dinaricu da se odmakne od pitanja koliko ugljika tresetišta sadrže i usredotoči na dodatno pitanje: što mijenja vodni režim koji omogućuje da taj </w:t>
      </w:r>
      <w:proofErr w:type="spellStart"/>
      <w:r>
        <w:t>ugljik</w:t>
      </w:r>
      <w:proofErr w:type="spellEnd"/>
      <w:r>
        <w:t xml:space="preserve"> </w:t>
      </w:r>
      <w:proofErr w:type="spellStart"/>
      <w:r>
        <w:t>ostane</w:t>
      </w:r>
      <w:proofErr w:type="spellEnd"/>
      <w:r>
        <w:t xml:space="preserve"> </w:t>
      </w:r>
      <w:proofErr w:type="spellStart"/>
      <w:r>
        <w:t>pohranjen</w:t>
      </w:r>
      <w:proofErr w:type="spellEnd"/>
      <w:r>
        <w:t>?</w:t>
      </w:r>
    </w:p>
    <w:p w:rsidR="00603641" w:rsidRDefault="00000000">
      <w:pPr>
        <w:pStyle w:val="Heading1"/>
      </w:pPr>
      <w:r>
        <w:t>Otkrivanje skrivene povezanosti hidroenergije i ugljika u tresetištima</w:t>
      </w:r>
    </w:p>
    <w:p w:rsidR="00603641" w:rsidRDefault="00000000">
      <w:pPr>
        <w:spacing w:after="120"/>
      </w:pPr>
      <w:r>
        <w:t xml:space="preserve">Praćenje vode izravno je dovelo do hidroenergije. U Livanjskom polju hidrološka analiza ispitala je način na koji se rijeke Bistrica, Žabljak i Šturba usmjeravaju kroz energetske kanale, retencije, crpnu infrastrukturu i derivacijski sustav HE Orlovac. Povijesne studije navedene u Strateškim smjernicama procijenile su prosječnu raspoloživost vode na 28,56 m³/s, od čega se približno 24 m³/s koristilo preko HE Orlovac. Infrastruktura je također znatno smanjila nekadašnje sezonsko zadržavanje vode koje je podupiralo funkcije </w:t>
      </w:r>
      <w:proofErr w:type="spellStart"/>
      <w:r>
        <w:t>močvarnih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tresetišta</w:t>
      </w:r>
      <w:proofErr w:type="spellEnd"/>
      <w:r>
        <w:t>.</w:t>
      </w:r>
    </w:p>
    <w:p w:rsidR="00603641" w:rsidRDefault="00000000">
      <w:pPr>
        <w:spacing w:after="120"/>
      </w:pPr>
      <w:r>
        <w:lastRenderedPageBreak/>
        <w:t xml:space="preserve">U Hutovu blatu, pretvaranje nekadašnjeg korita rijeke Trebišnjice u obloženi dovodni kanal, zajedno s izolacijom velikih ponora, smanjilo je prirodno prihranjivanje močvarnog područja. Povijesni zapisi navedeni u smjernicama povezuju dovršetak hidroenergetskog sustava sa smanjenjem srednjih minimalnih razina vode tijekom sušnog razdoblja na postaji Karaotok–Krupa s približno 60 cm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približno</w:t>
      </w:r>
      <w:proofErr w:type="spellEnd"/>
      <w:r>
        <w:t xml:space="preserve"> 30 cm.</w:t>
      </w:r>
    </w:p>
    <w:p w:rsidR="00603641" w:rsidRDefault="00000000">
      <w:pPr>
        <w:spacing w:after="120"/>
      </w:pPr>
      <w:r>
        <w:t>Projekt je utvrdio važan, prethodno zanemaren klimatski mehanizam: hidroenergetska infrastruktura i odluke o radu mogu promijeniti hidrološke uvjete, pridonijeti isušivanju tresetišta i ugroziti pohranjeni ugljik, čak i kada su emisije na samoj turbini vrlo niske.</w:t>
      </w:r>
    </w:p>
    <w:p w:rsidR="00603641" w:rsidRDefault="00000000">
      <w:pPr>
        <w:pStyle w:val="Heading1"/>
      </w:pPr>
      <w:r>
        <w:t>Inovacija: pogled izvan same turbine</w:t>
      </w:r>
    </w:p>
    <w:p w:rsidR="00603641" w:rsidRDefault="00000000">
      <w:pPr>
        <w:spacing w:after="120"/>
      </w:pPr>
      <w:r>
        <w:t>Središnja inovacija nije bila već poznata činjenica da isušeni treset može ispuštati stakleničke plinove, nego pripisivanje tog klimatskog učinka odlukama o upravljanju vodama i radu sustava koje uzrokuju ili pogoršavaju isušivanje.</w:t>
      </w:r>
    </w:p>
    <w:p w:rsidR="00603641" w:rsidRDefault="00000000">
      <w:pPr>
        <w:spacing w:after="120"/>
      </w:pPr>
      <w:r>
        <w:t>Ovaj pristup proširuje perspektivu obračuna ugljika sa same turbine na šire slivno područje. Ako hidroenergetska infrastruktura preusmjerava vodu, narušava sezonsku hidrologiju ili ubrzava isušivanje, a te promjene dovode do oksidacije treseta, povezani učinak na emisije stakleničkih plinova proizlazi iz načina rada elektroenergetskog sustava, čak i ako se emisije pojavljuju izvan postrojenja za proizvodnju električne energije.</w:t>
      </w:r>
    </w:p>
    <w:p w:rsidR="00603641" w:rsidRDefault="00000000">
      <w:pPr>
        <w:spacing w:after="120"/>
      </w:pPr>
      <w:r>
        <w:t xml:space="preserve">Projekt još nije izradio provjerenu godišnju vrijednost u tCO₂e koja bi se mogla pripisati svakom operatoru. Umjesto toga, uspostavio je znanstvenu i hidrološku osnovu za buduću kvantifikaciju te je pretočio u okvir za mjerenje, izvješćivanje i verifikaciju (MRV). Time je osiguran vjerodostojan okvir koji se može dalje operacionalizirati, testirati i uključiti u </w:t>
      </w:r>
      <w:proofErr w:type="spellStart"/>
      <w:r>
        <w:t>propise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korporativno</w:t>
      </w:r>
      <w:proofErr w:type="spellEnd"/>
      <w:r>
        <w:t xml:space="preserve"> </w:t>
      </w:r>
      <w:proofErr w:type="spellStart"/>
      <w:r>
        <w:t>izvješćivanje</w:t>
      </w:r>
      <w:proofErr w:type="spellEnd"/>
      <w:r>
        <w:t>.</w:t>
      </w:r>
    </w:p>
    <w:p w:rsidR="00603641" w:rsidRDefault="00000000">
      <w:pPr>
        <w:pStyle w:val="Heading1"/>
      </w:pPr>
      <w:r>
        <w:t>Kada su novi dokazi promijenili sam projekt</w:t>
      </w:r>
    </w:p>
    <w:p w:rsidR="00603641" w:rsidRDefault="00000000">
      <w:pPr>
        <w:spacing w:after="120"/>
      </w:pPr>
      <w:r>
        <w:t>Jedan od najjasnijih pokazatelja pretvaranja inovacije u učinak jest to što su rezultati istraživanja promijenili logiku intervencija u projektu. Hidroenergetski sektor postao je zasebna ciljna skupina, a uveden je i novi strateški rezultat: izrada smjernica za operatore hidroelektrana o zaštiti tresetišta.</w:t>
      </w:r>
    </w:p>
    <w:p w:rsidR="00603641" w:rsidRDefault="00000000">
      <w:pPr>
        <w:spacing w:after="120"/>
      </w:pPr>
      <w:r>
        <w:t>Provedeni rad objedinjuje pravnu analizu i analizu politika, znanstvene i ekonomske dokaze, suradnju s industrijom, smjernice za operatore, validaciju i širenje rezultata. Dokaze o tresetištima i stakleničkim plinovima pretvara u praktične mjere, uključujući minimalne razine vode, ekološki prihvatljive protoke, vrijeme ispuštanja vode, praćenje, ponovno vlaženje i potporu obnovi.</w:t>
      </w:r>
    </w:p>
    <w:p w:rsidR="00603641" w:rsidRDefault="00000000">
      <w:pPr>
        <w:spacing w:after="120"/>
      </w:pPr>
      <w:r>
        <w:t>Strateške smjernice ne predlažu zaustavljanje proizvodnje hidroenergije. Umjesto toga, istražuju kako se proizvodnja električne energije iz obnovljivih izvora i zaštita tresetišta mogu uskladiti poboljšanjem operativnih pravila, utvrđivanjem ekoloških pragova i koordiniranim upravljanjem vodama.</w:t>
      </w:r>
    </w:p>
    <w:p w:rsidR="00603641" w:rsidRDefault="00000000">
      <w:pPr>
        <w:pStyle w:val="Heading1"/>
      </w:pPr>
      <w:r>
        <w:t>Od učionice do terena — i od znanja do institucija</w:t>
      </w:r>
    </w:p>
    <w:p w:rsidR="00603641" w:rsidRDefault="00000000">
      <w:pPr>
        <w:spacing w:after="120"/>
      </w:pPr>
      <w:r>
        <w:t>Znanstvene promjene i promjene politika mogu se dugoročno održati samo ako znanje dopre do šire javnosti i budućih generacija. Zbog toga je projekt poseban naglasak stavio na učitelje i učenike osnovnih škola, uz uključivanje lokalnih zajednica, stručnjaka i poslovnog sektora.</w:t>
      </w:r>
    </w:p>
    <w:p w:rsidR="00603641" w:rsidRDefault="00000000">
      <w:pPr>
        <w:spacing w:after="120"/>
      </w:pPr>
      <w:r>
        <w:t>Jedan od ključnih rezultata bila je izrada priručnika „Tresetišta – zaboravljeni heroji prirode”, dostupnog u tiskanom i internetskom obliku. Priručnik je osmišljen kao praktičan resurs koji učitelji mogu nastaviti koristiti i nakon završetka projekta, uključujući i u školama koje nisu izravno sudjelovale u projektnim aktivnostima.</w:t>
      </w:r>
    </w:p>
    <w:p w:rsidR="00603641" w:rsidRDefault="00000000">
      <w:pPr>
        <w:spacing w:after="120"/>
      </w:pPr>
      <w:r>
        <w:lastRenderedPageBreak/>
        <w:t xml:space="preserve">Kako bi se pružila potpora učiteljima, organizirano je šest internetskih radionica za nastavnike prirodoslovnih predmeta iz četiriju osnovnih škola u Bosni i Hercegovini i Crnoj Gori — po dvije škole u svakoj zemlji. Projekt je organizirao i šest terenskih radionica u prirodi, po tri u svakoj zemlji, tijekom kojih su učenici mogli izravno upoznati ekosustave tresetišta i razumjeti povezanost očuvanja </w:t>
      </w:r>
      <w:proofErr w:type="spellStart"/>
      <w:r>
        <w:t>ekosustava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klimatskih</w:t>
      </w:r>
      <w:proofErr w:type="spellEnd"/>
      <w:r>
        <w:t xml:space="preserve"> </w:t>
      </w:r>
      <w:proofErr w:type="spellStart"/>
      <w:r>
        <w:t>promjena</w:t>
      </w:r>
      <w:proofErr w:type="spellEnd"/>
      <w:r>
        <w:t>.</w:t>
      </w:r>
    </w:p>
    <w:p w:rsidR="00603641" w:rsidRDefault="00000000">
      <w:pPr>
        <w:spacing w:after="120"/>
      </w:pPr>
      <w:r>
        <w:t>Aktivnosti su ukupno obuhvatile 16 učitelja i 134 učenika. Povezujući učenje u učionici s terenskim iskustvom, projekt je klimatske promjene iz apstraktnog pojma pretvorio u nešto što učenici mogu promatrati, istraživati i razumjeti u vlastitom okruženju. Interes dodatnih škola za korištenje priručnika dodatno je pokazao da se rezultati mogu nastaviti primjenjivati i izvan škola koje su prvotno sudjelovale u projektu.</w:t>
      </w:r>
    </w:p>
    <w:p w:rsidR="00603641" w:rsidRDefault="00000000">
      <w:pPr>
        <w:pStyle w:val="Heading1"/>
      </w:pPr>
      <w:r>
        <w:t>Povezivanje projektnog znanja s javnim institucijama</w:t>
      </w:r>
    </w:p>
    <w:p w:rsidR="00603641" w:rsidRDefault="00000000">
      <w:pPr>
        <w:spacing w:after="120"/>
      </w:pPr>
      <w:r>
        <w:t xml:space="preserve">Projekt je uspostavio i kontinuiranu suradnju s Ministarstvom za prostorno uređenje, građevinarstvo i ekologiju Republike Srpske. Predstavnici Ministarstva redovito su sudjelovali na projektnim radionicama te su se mogli upoznati sa znanstvenim nalazima i praktičnim </w:t>
      </w:r>
      <w:proofErr w:type="spellStart"/>
      <w:r>
        <w:t>iskustvima</w:t>
      </w:r>
      <w:proofErr w:type="spellEnd"/>
      <w:r>
        <w:t xml:space="preserve"> </w:t>
      </w:r>
      <w:proofErr w:type="spellStart"/>
      <w:r>
        <w:t>proizašlima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>.</w:t>
      </w:r>
    </w:p>
    <w:p w:rsidR="00603641" w:rsidRPr="00DC0090" w:rsidRDefault="00000000">
      <w:pPr>
        <w:spacing w:after="120"/>
        <w:rPr>
          <w:lang w:val="sr-Latn-ME"/>
        </w:rPr>
      </w:pPr>
      <w:r>
        <w:t xml:space="preserve">Važan trenutak bio je doprinos Dinarice izradi Nacrta zakona o klimatskim promjenama, koji se u izvornom materijalu opisuje kao prvi dokument te vrste u Bosni i Hercegovini. Direktor Dinarice, oslanjajući se na stručnost u području okolišnog prava, dostavio je pravne i stručne komentare na nacrt. Time se otvorila prilika za povezivanje projektnog znanja s važnim institucionalnim procesom oblikovanja klimatskih politika. Dodatno, Eco-Team je ostvario uspjeh u dijelu politike koji se odnosi na uključivanje tresetišta u Plan prilagodbe klimatskim promjenama za razdoblje 2025. – 2035., u sklopu širih mjera za poboljšanje otpornosti </w:t>
      </w:r>
      <w:proofErr w:type="spellStart"/>
      <w:r>
        <w:t>ekosustava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klimatske</w:t>
      </w:r>
      <w:proofErr w:type="spellEnd"/>
      <w:r>
        <w:t xml:space="preserve"> </w:t>
      </w:r>
      <w:proofErr w:type="spellStart"/>
      <w:r>
        <w:t>promjene</w:t>
      </w:r>
      <w:proofErr w:type="spellEnd"/>
      <w:r>
        <w:t>.</w:t>
      </w:r>
    </w:p>
    <w:p w:rsidR="00603641" w:rsidRDefault="00000000">
      <w:pPr>
        <w:spacing w:after="120"/>
      </w:pPr>
      <w:r>
        <w:t>Na taj je način projekt nadilazio pojedinačne aktivnosti i otvorio prostor za nastavak stručnog dijaloga, snažniju institucionalnu suradnju i šire prepoznavanje tresetišta kao dijela klimatske političke agende.</w:t>
      </w:r>
    </w:p>
    <w:p w:rsidR="00603641" w:rsidRDefault="00000000">
      <w:pPr>
        <w:pStyle w:val="Heading1"/>
      </w:pPr>
      <w:r>
        <w:t>Od lokalnih ekosustava do širih gospodarskih i političkih pitanja</w:t>
      </w:r>
    </w:p>
    <w:p w:rsidR="00603641" w:rsidRDefault="00000000">
      <w:pPr>
        <w:spacing w:after="120"/>
      </w:pPr>
      <w:r>
        <w:t>Nalazi projekta važni su i za razvoj europskog klimatskog i energetskog okvira. Uključivanje električne energije u Mehanizam za prilagodbu ugljika na granicama (CBAM) čini vjerodostojne podatke o emisijama sve važnijima za izvoznike u Europsku uniju. Stoga se u Strateškim smjernicama zagovara obračun emisija stakleničkih plinova tijekom životnog ciklusa, provjereni podaci o proizvodnji i transparentne metodologije obračuna ugljika, umjesto oslanjanja isključivo na oznaku obnovljive energije.</w:t>
      </w:r>
    </w:p>
    <w:p w:rsidR="00603641" w:rsidRDefault="00000000">
      <w:pPr>
        <w:spacing w:after="120"/>
      </w:pPr>
      <w:r>
        <w:t>Projekt ne tvrdi da postojeća metodologija CBAM-a već pripisuje emisije iz isušenih tresetišta u Bosni i Hercegovini određenoj hidroenergetskoj tvrtki. Njegov je doprinos usmjeren na budućnost: prepoznaje negativan vanjski učinak na okoliš koji bi budući obračun ugljika, procjene u okviru održivog financiranja i korporativno izvješćivanje trebali moći obuhvatiti.</w:t>
      </w:r>
    </w:p>
    <w:p w:rsidR="00603641" w:rsidRDefault="00000000">
      <w:pPr>
        <w:spacing w:after="120"/>
      </w:pPr>
      <w:r>
        <w:t>Ova perspektiva mijenja i način na koji se promatra ponovno vlaženje tresetišta. Obnova nije samo trošak zaštite prirode; može se razumjeti i kao upravljanje klimatskim rizicima, odgovorno upravljanje vodama i zaštita prirodnog kapitala. Projekt stoga povezuje znanost o tresetištima s ekološki prihvatljivim protocima, praćenjem, korporativnom odgovornošću i dugoročnim financiranjem obnove.</w:t>
      </w:r>
    </w:p>
    <w:p w:rsidR="00603641" w:rsidRDefault="00000000">
      <w:pPr>
        <w:pStyle w:val="Heading1"/>
      </w:pPr>
      <w:r>
        <w:t>Ostvareni učinci i promjene kojima se i dalje teži</w:t>
      </w:r>
    </w:p>
    <w:p w:rsidR="00603641" w:rsidRDefault="00000000">
      <w:pPr>
        <w:spacing w:after="120"/>
      </w:pPr>
      <w:r>
        <w:t xml:space="preserve">Uz potporu EUKI-ja, Dinarica i Eco-Team </w:t>
      </w:r>
      <w:proofErr w:type="spellStart"/>
      <w:r>
        <w:t>ostvarili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sljedeće</w:t>
      </w:r>
      <w:proofErr w:type="spellEnd"/>
      <w:r>
        <w:t>:</w:t>
      </w:r>
    </w:p>
    <w:p w:rsidR="00603641" w:rsidRDefault="00000000">
      <w:pPr>
        <w:spacing w:after="120"/>
      </w:pPr>
      <w:r>
        <w:lastRenderedPageBreak/>
        <w:t>• Kartirali su i prostorno definirali važno područje tresetišta koje predstavlja zalihu ugljika u Bosni i Hercegovini i Crnoj Gori.</w:t>
      </w:r>
    </w:p>
    <w:p w:rsidR="00603641" w:rsidRDefault="00000000">
      <w:pPr>
        <w:spacing w:after="120"/>
      </w:pPr>
      <w:r>
        <w:t>• Unaprijedili su razumijevanje hidrološke povezanosti degradacije tresetišta s hidroenergetskom infrastrukturom i pravilima njezina rada, kao i opće povezanosti degradacije tresetišta i klimatskih promjena.</w:t>
      </w:r>
    </w:p>
    <w:p w:rsidR="00603641" w:rsidRDefault="00000000">
      <w:pPr>
        <w:spacing w:after="120"/>
      </w:pPr>
      <w:r>
        <w:t>• Izmijenili su strukturu projekta uvođenjem hidroenergetskog sektora kao zasebne ciljne skupine i izradom strateških smjernica.</w:t>
      </w:r>
    </w:p>
    <w:p w:rsidR="00603641" w:rsidRDefault="00000000">
      <w:pPr>
        <w:spacing w:after="120"/>
      </w:pPr>
      <w:r>
        <w:t>• Izradili su praktične smjernice koje obuhvaćaju ekološki prihvatljive protoke, zaštitu podzemnih voda, ponovno vlaženje, praćenje i MRV.</w:t>
      </w:r>
    </w:p>
    <w:p w:rsidR="00603641" w:rsidRDefault="00000000">
      <w:pPr>
        <w:spacing w:after="120"/>
      </w:pPr>
      <w:r>
        <w:t>• Obuhvatili su 16 učitelja i 134 učenika edukacijama za učitelje i učenjem na terenu.</w:t>
      </w:r>
    </w:p>
    <w:p w:rsidR="00603641" w:rsidRDefault="00000000">
      <w:pPr>
        <w:spacing w:after="120"/>
      </w:pPr>
      <w:r>
        <w:t>• Izradili su obrazovni priručnik za višekratnu uporabu, dostupan u tiskanom i internetskom obliku.</w:t>
      </w:r>
    </w:p>
    <w:p w:rsidR="00603641" w:rsidRDefault="00000000">
      <w:pPr>
        <w:spacing w:after="120"/>
      </w:pPr>
      <w:r>
        <w:t>• Ojačali su suradnju s javnim institucijama i povezali projektno znanje s procesima oblikovanja klimatskih politika.</w:t>
      </w:r>
    </w:p>
    <w:p w:rsidR="00603641" w:rsidRDefault="00000000">
      <w:pPr>
        <w:spacing w:after="120"/>
      </w:pPr>
      <w:r>
        <w:t>Sljedeća je faza potvrditi pragove ekološki prihvatljivih protoka i razina podzemnih voda za pojedina područja, osigurati sudjelovanje operatora u pilot-projektima kontroliranog ponovnog vlaženja i prilagodljivog upravljanja, unaprijediti obračun značajnih neizravnih učinaka na emisije stakleničkih plinova te poduprijeti prepoznavanje tresetišta u okvirima klimatskih politika, upravljanja vodama, izdavanja dozvola i ulaganja.</w:t>
      </w:r>
    </w:p>
    <w:p w:rsidR="00603641" w:rsidRDefault="00000000">
      <w:pPr>
        <w:pStyle w:val="Heading1"/>
      </w:pPr>
      <w:r>
        <w:t>Zašto je ovo priča o uspjehu EUKI-ja</w:t>
      </w:r>
    </w:p>
    <w:p w:rsidR="00603641" w:rsidRDefault="00000000">
      <w:pPr>
        <w:spacing w:after="120"/>
      </w:pPr>
      <w:r>
        <w:t>Potpora EUKI-ja omogućila je više od tehničke studije ili niza aktivnosti za podizanje svijesti. Poduprla je proces učenja u kojem su dokazi promijenili razumijevanje problema, a to je novo razumijevanje promijenilo strategiju projekta.</w:t>
      </w:r>
    </w:p>
    <w:p w:rsidR="00603641" w:rsidRDefault="00000000">
      <w:pPr>
        <w:spacing w:after="120"/>
      </w:pPr>
      <w:r>
        <w:t>Projekt je započeo pitanjem kako tresetišta dinarskog krša mogu pridonijeti sekvestraciji stakleničkih plinova. Zatim je pokazao da zaštita te zalihe ugljika zahtijeva pozornost posvećenu hidroenergiji i upravljanju vodama. Istodobno je dokazao da dugoročne promjene ovise o obrazovanju, javnoj svijesti i uključivanju institucija.</w:t>
      </w:r>
    </w:p>
    <w:p w:rsidR="00603641" w:rsidRDefault="00000000">
      <w:pPr>
        <w:spacing w:after="120"/>
      </w:pPr>
      <w:r>
        <w:t>Dobiveni model povezuje nekoliko razina: istraživanje i terensku provjeru, učenje u školama, komunikaciju s javnošću, suradnju s institucijama i praktične smjernice za gospodarske subjekte. Tresetišta se više ne promatraju samo kao izolirani ekosustavi, nego kao dio šireg odgovora na klimatske promjene, odgovorno upravljanje resursima i održivi razvoj.</w:t>
      </w:r>
    </w:p>
    <w:p w:rsidR="00603641" w:rsidRDefault="00000000">
      <w:pPr>
        <w:spacing w:after="120"/>
      </w:pPr>
      <w:r>
        <w:t>Ovaj pristup može se primijeniti i u drugim slivovima na Zapadnom Balkanu i u Europi, gdje rad hidroelektrana i druge antropogene aktivnosti utječu na tresetišta, močvarna područja ili organska tla. Njegova je temeljna metoda prenosiva: kartirati zalihu ugljika, utvrditi hidrološku ovisnost, prepoznati značajne učinke, definirati ekološke operativne pragove, mjeriti rezultate i uključiti nalaze u upravljanje, obrazovanje i financiranje.</w:t>
      </w:r>
    </w:p>
    <w:p w:rsidR="00603641" w:rsidRDefault="00000000">
      <w:pPr>
        <w:pStyle w:val="Heading1"/>
      </w:pPr>
      <w:r>
        <w:t>Poruka za sljedeću fazu</w:t>
      </w:r>
    </w:p>
    <w:p w:rsidR="00603641" w:rsidRDefault="00000000">
      <w:pPr>
        <w:spacing w:after="120"/>
      </w:pPr>
      <w:r>
        <w:t>Tresetišta se mogu opisati kao zaboravljeni heroji prirode, ali sve su vidljivija u znanstvenim, obrazovnim i institucionalnim raspravama. Uz potporu EUKI-ja, priča je započela na terenu, nastavila se u učionicama, proširila kroz podizanje javne svijesti i doprla do procesa oblikovanja politika.</w:t>
      </w:r>
    </w:p>
    <w:p w:rsidR="00603641" w:rsidRDefault="00000000">
      <w:pPr>
        <w:spacing w:after="120"/>
      </w:pPr>
      <w:r>
        <w:lastRenderedPageBreak/>
        <w:t>Iskustvo projekta pokazuje da smislene promjene ne počinju uvijek velikim sustavnim reformama. Mogu započeti kada učenik upozna neki ekosustav, razumije njegovu vrijednost i prenese to znanje široj zajednici. Mogu započeti i kada znanstveni dokazi otkriju prethodno zanemarenu povezanost između upravljanja vodama, proizvodnje energije i klimatskih učinaka.</w:t>
      </w:r>
    </w:p>
    <w:p w:rsidR="00603641" w:rsidRDefault="00000000">
      <w:pPr>
        <w:spacing w:after="120"/>
      </w:pPr>
      <w:r>
        <w:t xml:space="preserve">Turbina možda emitira vrlo malo ugljika, ali šire slivno područje i dalje može biti ugroženo. Učinivši tu razliku vidljivom, mjerljivom i primjenjivom u praksi, Udruga Dinarica otvorila je put prema informiranijem upravljanju hidroenergetskim sektorom, snažnijoj zaštiti tresetišta i integriranijoj klimatskoj agendi za Bosnu i </w:t>
      </w:r>
      <w:proofErr w:type="spellStart"/>
      <w:r>
        <w:t>Hercegovinu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širu</w:t>
      </w:r>
      <w:proofErr w:type="spellEnd"/>
      <w:r>
        <w:t xml:space="preserve"> </w:t>
      </w:r>
      <w:proofErr w:type="spellStart"/>
      <w:r>
        <w:t>regiju</w:t>
      </w:r>
      <w:proofErr w:type="spellEnd"/>
      <w:r>
        <w:t>.</w:t>
      </w:r>
    </w:p>
    <w:p w:rsidR="00603641" w:rsidRDefault="00000000">
      <w:pPr>
        <w:spacing w:after="120"/>
      </w:pPr>
      <w:r>
        <w:t>Potpora EUKI-ja pomogla je pretvoriti relativno zanemaren ekosustav u zajedničku temu učenja, istraživanja, institucionalnog dijaloga i operativnog djelovanja u području klime.</w:t>
      </w:r>
    </w:p>
    <w:sectPr w:rsidR="00603641" w:rsidSect="00034616">
      <w:headerReference w:type="default" r:id="rId8"/>
      <w:footerReference w:type="default" r:id="rId9"/>
      <w:pgSz w:w="12240" w:h="15840"/>
      <w:pgMar w:top="1080" w:right="1296" w:bottom="108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925F6" w:rsidRDefault="00D925F6">
      <w:pPr>
        <w:spacing w:after="0" w:line="240" w:lineRule="auto"/>
      </w:pPr>
      <w:r>
        <w:separator/>
      </w:r>
    </w:p>
  </w:endnote>
  <w:endnote w:type="continuationSeparator" w:id="0">
    <w:p w:rsidR="00D925F6" w:rsidRDefault="00D92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B54B4" w:rsidRDefault="00DB54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925F6" w:rsidRDefault="00D925F6">
      <w:pPr>
        <w:spacing w:after="0" w:line="240" w:lineRule="auto"/>
      </w:pPr>
      <w:r>
        <w:separator/>
      </w:r>
    </w:p>
  </w:footnote>
  <w:footnote w:type="continuationSeparator" w:id="0">
    <w:p w:rsidR="00D925F6" w:rsidRDefault="00D92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B54B4" w:rsidRDefault="00DB54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7015255">
    <w:abstractNumId w:val="8"/>
  </w:num>
  <w:num w:numId="2" w16cid:durableId="1269970219">
    <w:abstractNumId w:val="6"/>
  </w:num>
  <w:num w:numId="3" w16cid:durableId="1590306507">
    <w:abstractNumId w:val="5"/>
  </w:num>
  <w:num w:numId="4" w16cid:durableId="1441995126">
    <w:abstractNumId w:val="4"/>
  </w:num>
  <w:num w:numId="5" w16cid:durableId="1092816737">
    <w:abstractNumId w:val="7"/>
  </w:num>
  <w:num w:numId="6" w16cid:durableId="1791892725">
    <w:abstractNumId w:val="3"/>
  </w:num>
  <w:num w:numId="7" w16cid:durableId="813792410">
    <w:abstractNumId w:val="2"/>
  </w:num>
  <w:num w:numId="8" w16cid:durableId="775250356">
    <w:abstractNumId w:val="1"/>
  </w:num>
  <w:num w:numId="9" w16cid:durableId="1508638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2AE4"/>
    <w:rsid w:val="0015074B"/>
    <w:rsid w:val="002033FA"/>
    <w:rsid w:val="0029639D"/>
    <w:rsid w:val="00326F90"/>
    <w:rsid w:val="00603641"/>
    <w:rsid w:val="006E0B5C"/>
    <w:rsid w:val="00AA1D8D"/>
    <w:rsid w:val="00B47730"/>
    <w:rsid w:val="00C03108"/>
    <w:rsid w:val="00CB0664"/>
    <w:rsid w:val="00D925F6"/>
    <w:rsid w:val="00DB54B4"/>
    <w:rsid w:val="00DC0090"/>
    <w:rsid w:val="00DF42EF"/>
    <w:rsid w:val="00F63F2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ED1991F6-3451-5A48-B17C-604473177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DC00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009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0090"/>
    <w:rPr>
      <w:rFonts w:ascii="Arial" w:eastAsia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009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0090"/>
    <w:rPr>
      <w:rFonts w:ascii="Arial" w:eastAsia="Arial" w:hAnsi="Arial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63F22"/>
    <w:pPr>
      <w:spacing w:after="0" w:line="240" w:lineRule="auto"/>
    </w:pPr>
    <w:rPr>
      <w:rFonts w:ascii="Arial" w:eastAsia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2092</Words>
  <Characters>11931</Characters>
  <Application>Microsoft Office Word</Application>
  <DocSecurity>0</DocSecurity>
  <Lines>99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13996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2026-10-20T09:32:00Z</dcterms:created>
  <dcterms:modified xsi:type="dcterms:W3CDTF">2026-10-20T09:32:00Z</dcterms:modified>
  <cp:category/>
</cp:coreProperties>
</file>