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D6DE4" w:rsidRPr="00ED6DE4" w:rsidRDefault="00ED6DE4" w:rsidP="00ED6DE4">
      <w:pPr>
        <w:spacing w:after="360"/>
        <w:jc w:val="center"/>
        <w:outlineLvl w:val="0"/>
        <w:rPr>
          <w:rFonts w:ascii="Arial" w:eastAsia="Times New Roman" w:hAnsi="Arial" w:cs="Arial"/>
          <w:color w:val="0F1C2D"/>
          <w:kern w:val="0"/>
          <w:sz w:val="30"/>
          <w:szCs w:val="30"/>
          <w:lang w:eastAsia="en-GB"/>
          <w14:ligatures w14:val="none"/>
        </w:rPr>
      </w:pPr>
      <w:r w:rsidRPr="00ED6DE4">
        <w:rPr>
          <w:rFonts w:ascii="Arial" w:eastAsia="Times New Roman" w:hAnsi="Arial" w:cs="Arial"/>
          <w:color w:val="0F1C2D"/>
          <w:kern w:val="0"/>
          <w:sz w:val="30"/>
          <w:szCs w:val="30"/>
          <w:lang w:eastAsia="en-GB"/>
          <w14:ligatures w14:val="none"/>
        </w:rPr>
        <w:t>Identifikacija prepreka za očuvanje endemskih pastrva u rijeci Neretvi, Bosna i Hercegovina</w:t>
      </w:r>
    </w:p>
    <w:p w:rsidR="00ED6DE4" w:rsidRDefault="00ED6DE4" w:rsidP="00ED6DE4">
      <w:pPr>
        <w:rPr>
          <w:rFonts w:ascii="Arial" w:eastAsia="Times New Roman" w:hAnsi="Arial" w:cs="Arial"/>
          <w:color w:val="0F1C2D"/>
          <w:kern w:val="0"/>
          <w:sz w:val="30"/>
          <w:szCs w:val="30"/>
          <w:lang w:eastAsia="en-GB"/>
          <w14:ligatures w14:val="none"/>
        </w:rPr>
      </w:pPr>
    </w:p>
    <w:p w:rsidR="00ED6DE4" w:rsidRPr="00ED6DE4" w:rsidRDefault="00ED6DE4" w:rsidP="00ED6DE4">
      <w:pPr>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Projekt usmjeren na identifikaciju i određivanje prioriteta za uklanjanje prepreka u riječnom koritu radi zaštite ugroženih endemskih pastrva u rijeci Neretvi, čime im se pruža ključna prilika za opstanak.</w:t>
      </w:r>
    </w:p>
    <w:p w:rsidR="00ED6DE4" w:rsidRPr="00ED6DE4" w:rsidRDefault="00ED6DE4" w:rsidP="00ED6DE4">
      <w:pPr>
        <w:shd w:val="clear" w:color="auto" w:fill="FFFFFF"/>
        <w:spacing w:after="360"/>
        <w:outlineLvl w:val="1"/>
        <w:rPr>
          <w:rFonts w:ascii="Arial" w:eastAsia="Times New Roman" w:hAnsi="Arial" w:cs="Arial"/>
          <w:b/>
          <w:bCs/>
          <w:color w:val="1F8CC6"/>
          <w:kern w:val="0"/>
          <w:lang w:eastAsia="en-GB"/>
          <w14:ligatures w14:val="none"/>
        </w:rPr>
      </w:pPr>
    </w:p>
    <w:p w:rsidR="00ED6DE4" w:rsidRPr="00ED6DE4" w:rsidRDefault="00ED6DE4" w:rsidP="00ED6DE4">
      <w:pPr>
        <w:shd w:val="clear" w:color="auto" w:fill="FFFFFF"/>
        <w:spacing w:after="360"/>
        <w:outlineLvl w:val="1"/>
        <w:rPr>
          <w:rFonts w:ascii="Arial" w:eastAsia="Times New Roman" w:hAnsi="Arial" w:cs="Arial"/>
          <w:b/>
          <w:bCs/>
          <w:color w:val="1F8CC6"/>
          <w:kern w:val="0"/>
          <w:lang w:eastAsia="en-GB"/>
          <w14:ligatures w14:val="none"/>
        </w:rPr>
      </w:pPr>
      <w:r w:rsidRPr="00ED6DE4">
        <w:rPr>
          <w:rFonts w:ascii="Arial" w:eastAsia="Times New Roman" w:hAnsi="Arial" w:cs="Arial"/>
          <w:b/>
          <w:bCs/>
          <w:color w:val="1F8CC6"/>
          <w:kern w:val="0"/>
          <w:lang w:eastAsia="en-GB"/>
          <w14:ligatures w14:val="none"/>
        </w:rPr>
        <w:t>Uvod</w:t>
      </w:r>
    </w:p>
    <w:p w:rsidR="00ED6DE4" w:rsidRPr="00ED6DE4" w:rsidRDefault="00ED6DE4" w:rsidP="00ED6DE4">
      <w:pPr>
        <w:shd w:val="clear" w:color="auto" w:fill="FFFFFF"/>
        <w:spacing w:after="360"/>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Projekt će biti usmjeren na srednju i donju dolinu Neretve, počevši nizvodno od Jablaničkog jezera. Cilj je ove inicijative izraditi inventar zastarjelih betonskih objekata i prepreka u srednjoj i donjoj dolini Neretve. Inventar će obuhvatiti lokaciju, visinu, širinu, fotografije, GIS kartiranje te utvrđivanje mogućih okolišnih i društvenih rizika. Projektom će se zatim izraditi popis prepreka predviđenih za uklanjanje, uz davanje prioriteta onima s najvećim utjecajem na okoliš, a pritom će se osigurati koristi za lokalne zajednice.</w:t>
      </w:r>
    </w:p>
    <w:p w:rsidR="00ED6DE4" w:rsidRPr="00ED6DE4" w:rsidRDefault="00ED6DE4" w:rsidP="00ED6DE4">
      <w:pPr>
        <w:shd w:val="clear" w:color="auto" w:fill="FFFFFF"/>
        <w:spacing w:after="360"/>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Projekt obuhvaća sljedeće rijeke:</w:t>
      </w:r>
    </w:p>
    <w:p w:rsidR="00ED6DE4" w:rsidRPr="00ED6DE4" w:rsidRDefault="00ED6DE4" w:rsidP="00ED6DE4">
      <w:pPr>
        <w:numPr>
          <w:ilvl w:val="0"/>
          <w:numId w:val="1"/>
        </w:numPr>
        <w:shd w:val="clear" w:color="auto" w:fill="FFFFFF"/>
        <w:spacing w:before="100" w:beforeAutospacing="1" w:after="135"/>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Doljanka: duga 18 kilometara, s površinom sliva od 69 km². Pritoci uključuju Bijeli potok, Trn, Loznik i Cvitan. Izvor Doljanke nalazi se na 1.324 metra nadmorske visine, a ušće na 300 metara nadmorske visine.</w:t>
      </w:r>
    </w:p>
    <w:p w:rsidR="00ED6DE4" w:rsidRPr="00ED6DE4" w:rsidRDefault="00ED6DE4" w:rsidP="00ED6DE4">
      <w:pPr>
        <w:numPr>
          <w:ilvl w:val="0"/>
          <w:numId w:val="1"/>
        </w:numPr>
        <w:shd w:val="clear" w:color="auto" w:fill="FFFFFF"/>
        <w:spacing w:before="100" w:beforeAutospacing="1" w:after="135"/>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Neretvica: duga 27 kilometara, s pritocima među kojima su Otunski potok, Prolaz, Obaščica, Mala Neretvica, Zagrejčica, Gornji Čažanj, Donji Čažanj, Zagrejčica i Gorovnik. Izvor Neretvice nalazi se na 1.510 metara nadmorske visine.</w:t>
      </w:r>
    </w:p>
    <w:p w:rsidR="00ED6DE4" w:rsidRPr="00ED6DE4" w:rsidRDefault="00ED6DE4" w:rsidP="00ED6DE4">
      <w:pPr>
        <w:numPr>
          <w:ilvl w:val="0"/>
          <w:numId w:val="1"/>
        </w:numPr>
        <w:shd w:val="clear" w:color="auto" w:fill="FFFFFF"/>
        <w:spacing w:before="100" w:beforeAutospacing="1" w:after="135"/>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Drežanka: duga 21 kilometar, s površinom sliva od 146 km². Pritoci uključuju Meomaču, Ledenicu, Tisno i Ždilac. Izvor Drežanke nalazi se na 485 metara nadmorske visine, a ušće na 112 metara nadmorske visine.</w:t>
      </w:r>
    </w:p>
    <w:p w:rsidR="00ED6DE4" w:rsidRPr="00ED6DE4" w:rsidRDefault="00ED6DE4" w:rsidP="00ED6DE4">
      <w:pPr>
        <w:numPr>
          <w:ilvl w:val="0"/>
          <w:numId w:val="1"/>
        </w:numPr>
        <w:shd w:val="clear" w:color="auto" w:fill="FFFFFF"/>
        <w:spacing w:before="100" w:beforeAutospacing="1" w:after="135"/>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Buna: duga 9 kilometara, s dva pritoka: Posrtom i Bunicom. Prosječna izdašnost izvora Bune jedna je od najvećih u Europi (43 m³/s).</w:t>
      </w:r>
    </w:p>
    <w:p w:rsidR="00ED6DE4" w:rsidRPr="00ED6DE4" w:rsidRDefault="00ED6DE4" w:rsidP="00ED6DE4">
      <w:pPr>
        <w:numPr>
          <w:ilvl w:val="0"/>
          <w:numId w:val="1"/>
        </w:numPr>
        <w:shd w:val="clear" w:color="auto" w:fill="FFFFFF"/>
        <w:spacing w:before="100" w:beforeAutospacing="1" w:after="135"/>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Bunica: duga 6 kilometara, s izvorom dubokim 70 metara – jednim od najdubljih izvora u Europi.</w:t>
      </w:r>
    </w:p>
    <w:p w:rsidR="00ED6DE4" w:rsidRPr="00ED6DE4" w:rsidRDefault="00ED6DE4" w:rsidP="00ED6DE4">
      <w:pPr>
        <w:numPr>
          <w:ilvl w:val="0"/>
          <w:numId w:val="1"/>
        </w:numPr>
        <w:shd w:val="clear" w:color="auto" w:fill="FFFFFF"/>
        <w:spacing w:before="100" w:beforeAutospacing="1" w:after="135"/>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Bregava: duga 31 kilometar, s površinom sliva od 722,4 km². Radimlja je pritok Bregave.</w:t>
      </w:r>
    </w:p>
    <w:p w:rsidR="00ED6DE4" w:rsidRPr="00ED6DE4" w:rsidRDefault="00ED6DE4" w:rsidP="00ED6DE4">
      <w:pPr>
        <w:numPr>
          <w:ilvl w:val="0"/>
          <w:numId w:val="1"/>
        </w:numPr>
        <w:shd w:val="clear" w:color="auto" w:fill="FFFFFF"/>
        <w:spacing w:before="100" w:beforeAutospacing="1" w:after="135"/>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Krupa: duga 9 kilometara, s vlastitim slivom površine 74 km².</w:t>
      </w:r>
    </w:p>
    <w:p w:rsidR="00ED6DE4" w:rsidRPr="00ED6DE4" w:rsidRDefault="00ED6DE4" w:rsidP="00ED6DE4">
      <w:pPr>
        <w:numPr>
          <w:ilvl w:val="0"/>
          <w:numId w:val="1"/>
        </w:numPr>
        <w:shd w:val="clear" w:color="auto" w:fill="FFFFFF"/>
        <w:spacing w:before="100" w:beforeAutospacing="1"/>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Trebižat: posljednji i najveći pritok Neretve, dug 51,3 kilometra, sa slivom površine 646 km². Trebižat je tipična krška rijeka s pojavom poniranja i ponovnog izviranja, zbog čega ima devet različitih naziva.</w:t>
      </w:r>
    </w:p>
    <w:p w:rsidR="00AD5722" w:rsidRDefault="00AD5722" w:rsidP="00ED6DE4">
      <w:pPr>
        <w:shd w:val="clear" w:color="auto" w:fill="FFFFFF"/>
        <w:spacing w:after="360"/>
        <w:outlineLvl w:val="1"/>
        <w:rPr>
          <w:rFonts w:ascii="Arial" w:eastAsia="Times New Roman" w:hAnsi="Arial" w:cs="Arial"/>
          <w:b/>
          <w:bCs/>
          <w:color w:val="1F8CC6"/>
          <w:kern w:val="0"/>
          <w:lang w:eastAsia="en-GB"/>
          <w14:ligatures w14:val="none"/>
        </w:rPr>
      </w:pPr>
    </w:p>
    <w:p w:rsidR="00AD5722" w:rsidRDefault="00AD5722" w:rsidP="00ED6DE4">
      <w:pPr>
        <w:shd w:val="clear" w:color="auto" w:fill="FFFFFF"/>
        <w:spacing w:after="360"/>
        <w:outlineLvl w:val="1"/>
        <w:rPr>
          <w:rFonts w:ascii="Arial" w:eastAsia="Times New Roman" w:hAnsi="Arial" w:cs="Arial"/>
          <w:b/>
          <w:bCs/>
          <w:color w:val="1F8CC6"/>
          <w:kern w:val="0"/>
          <w:lang w:eastAsia="en-GB"/>
          <w14:ligatures w14:val="none"/>
        </w:rPr>
      </w:pPr>
    </w:p>
    <w:p w:rsidR="00ED6DE4" w:rsidRPr="00ED6DE4" w:rsidRDefault="00ED6DE4" w:rsidP="00ED6DE4">
      <w:pPr>
        <w:shd w:val="clear" w:color="auto" w:fill="FFFFFF"/>
        <w:spacing w:after="360"/>
        <w:outlineLvl w:val="1"/>
        <w:rPr>
          <w:rFonts w:ascii="Arial" w:eastAsia="Times New Roman" w:hAnsi="Arial" w:cs="Arial"/>
          <w:b/>
          <w:bCs/>
          <w:color w:val="1F8CC6"/>
          <w:kern w:val="0"/>
          <w:lang w:eastAsia="en-GB"/>
          <w14:ligatures w14:val="none"/>
        </w:rPr>
      </w:pPr>
      <w:r w:rsidRPr="00ED6DE4">
        <w:rPr>
          <w:rFonts w:ascii="Arial" w:eastAsia="Times New Roman" w:hAnsi="Arial" w:cs="Arial"/>
          <w:b/>
          <w:bCs/>
          <w:color w:val="1F8CC6"/>
          <w:kern w:val="0"/>
          <w:lang w:eastAsia="en-GB"/>
          <w14:ligatures w14:val="none"/>
        </w:rPr>
        <w:lastRenderedPageBreak/>
        <w:t>Ukratko</w:t>
      </w:r>
    </w:p>
    <w:tbl>
      <w:tblPr>
        <w:tblW w:w="15450" w:type="dxa"/>
        <w:tblCellSpacing w:w="15" w:type="dxa"/>
        <w:tblBorders>
          <w:top w:val="single" w:sz="6" w:space="0" w:color="auto"/>
          <w:left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888"/>
        <w:gridCol w:w="11562"/>
      </w:tblGrid>
      <w:tr w:rsidR="00ED6DE4" w:rsidRPr="00ED6DE4" w:rsidTr="00ED6DE4">
        <w:trPr>
          <w:tblCellSpacing w:w="15" w:type="dxa"/>
        </w:trPr>
        <w:tc>
          <w:tcPr>
            <w:tcW w:w="3855" w:type="dxa"/>
            <w:tcBorders>
              <w:bottom w:val="single" w:sz="6" w:space="0" w:color="1F8CC6"/>
            </w:tcBorders>
            <w:shd w:val="clear" w:color="auto" w:fill="FAFCFE"/>
            <w:tcMar>
              <w:top w:w="150" w:type="dxa"/>
              <w:left w:w="150" w:type="dxa"/>
              <w:bottom w:w="150" w:type="dxa"/>
              <w:right w:w="150" w:type="dxa"/>
            </w:tcMar>
            <w:vAlign w:val="center"/>
            <w:hideMark/>
          </w:tcPr>
          <w:p w:rsidR="00ED6DE4" w:rsidRPr="00ED6DE4" w:rsidRDefault="00ED6DE4" w:rsidP="00ED6DE4">
            <w:pPr>
              <w:rPr>
                <w:rFonts w:ascii="Times New Roman" w:eastAsia="Times New Roman" w:hAnsi="Times New Roman" w:cs="Times New Roman"/>
                <w:b/>
                <w:bCs/>
                <w:color w:val="0F1C2D"/>
                <w:kern w:val="0"/>
                <w:lang w:eastAsia="en-GB"/>
                <w14:ligatures w14:val="none"/>
              </w:rPr>
            </w:pPr>
            <w:r w:rsidRPr="00ED6DE4">
              <w:rPr>
                <w:rFonts w:ascii="Times New Roman" w:eastAsia="Times New Roman" w:hAnsi="Times New Roman" w:cs="Times New Roman"/>
                <w:b/>
                <w:bCs/>
                <w:color w:val="0F1C2D"/>
                <w:kern w:val="0"/>
                <w:lang w:eastAsia="en-GB"/>
                <w14:ligatures w14:val="none"/>
              </w:rPr>
              <w:t>Završen</w:t>
            </w:r>
          </w:p>
        </w:tc>
        <w:tc>
          <w:tcPr>
            <w:tcW w:w="11565" w:type="dxa"/>
            <w:tcBorders>
              <w:bottom w:val="single" w:sz="6" w:space="0" w:color="1F8CC6"/>
            </w:tcBorders>
            <w:shd w:val="clear" w:color="auto" w:fill="FAFCFE"/>
            <w:tcMar>
              <w:top w:w="150" w:type="dxa"/>
              <w:left w:w="150" w:type="dxa"/>
              <w:bottom w:w="150" w:type="dxa"/>
              <w:right w:w="150" w:type="dxa"/>
            </w:tcMar>
            <w:vAlign w:val="center"/>
            <w:hideMark/>
          </w:tcPr>
          <w:p w:rsidR="00ED6DE4" w:rsidRPr="00ED6DE4" w:rsidRDefault="00ED6DE4" w:rsidP="00ED6DE4">
            <w:pPr>
              <w:rPr>
                <w:rFonts w:ascii="Times New Roman" w:eastAsia="Times New Roman" w:hAnsi="Times New Roman" w:cs="Times New Roman"/>
                <w:color w:val="0F1C2D"/>
                <w:kern w:val="0"/>
                <w:lang w:eastAsia="en-GB"/>
                <w14:ligatures w14:val="none"/>
              </w:rPr>
            </w:pPr>
            <w:r w:rsidRPr="00ED6DE4">
              <w:rPr>
                <w:rFonts w:ascii="Times New Roman" w:eastAsia="Times New Roman" w:hAnsi="Times New Roman" w:cs="Times New Roman"/>
                <w:color w:val="0F1C2D"/>
                <w:kern w:val="0"/>
                <w:lang w:eastAsia="en-GB"/>
                <w14:ligatures w14:val="none"/>
              </w:rPr>
              <w:t>Completed</w:t>
            </w:r>
          </w:p>
        </w:tc>
      </w:tr>
      <w:tr w:rsidR="00ED6DE4" w:rsidRPr="00ED6DE4" w:rsidTr="00ED6DE4">
        <w:trPr>
          <w:tblCellSpacing w:w="15" w:type="dxa"/>
        </w:trPr>
        <w:tc>
          <w:tcPr>
            <w:tcW w:w="3855" w:type="dxa"/>
            <w:tcBorders>
              <w:bottom w:val="single" w:sz="6" w:space="0" w:color="1F8CC6"/>
            </w:tcBorders>
            <w:tcMar>
              <w:top w:w="150" w:type="dxa"/>
              <w:left w:w="150" w:type="dxa"/>
              <w:bottom w:w="150" w:type="dxa"/>
              <w:right w:w="150" w:type="dxa"/>
            </w:tcMar>
            <w:vAlign w:val="center"/>
            <w:hideMark/>
          </w:tcPr>
          <w:p w:rsidR="00ED6DE4" w:rsidRPr="00ED6DE4" w:rsidRDefault="00ED6DE4" w:rsidP="00ED6DE4">
            <w:pPr>
              <w:rPr>
                <w:rFonts w:ascii="Times New Roman" w:eastAsia="Times New Roman" w:hAnsi="Times New Roman" w:cs="Times New Roman"/>
                <w:b/>
                <w:bCs/>
                <w:color w:val="0F1C2D"/>
                <w:kern w:val="0"/>
                <w:lang w:eastAsia="en-GB"/>
                <w14:ligatures w14:val="none"/>
              </w:rPr>
            </w:pPr>
            <w:r w:rsidRPr="00ED6DE4">
              <w:rPr>
                <w:rFonts w:ascii="Times New Roman" w:eastAsia="Times New Roman" w:hAnsi="Times New Roman" w:cs="Times New Roman"/>
                <w:b/>
                <w:bCs/>
                <w:color w:val="0F1C2D"/>
                <w:kern w:val="0"/>
                <w:lang w:eastAsia="en-GB"/>
                <w14:ligatures w14:val="none"/>
              </w:rPr>
              <w:t>Identifikacija prepreka i određivanje prioriteta</w:t>
            </w:r>
          </w:p>
        </w:tc>
        <w:tc>
          <w:tcPr>
            <w:tcW w:w="11565" w:type="dxa"/>
            <w:tcBorders>
              <w:bottom w:val="single" w:sz="6" w:space="0" w:color="1F8CC6"/>
            </w:tcBorders>
            <w:tcMar>
              <w:top w:w="150" w:type="dxa"/>
              <w:left w:w="150" w:type="dxa"/>
              <w:bottom w:w="150" w:type="dxa"/>
              <w:right w:w="150" w:type="dxa"/>
            </w:tcMar>
            <w:vAlign w:val="center"/>
            <w:hideMark/>
          </w:tcPr>
          <w:p w:rsidR="00ED6DE4" w:rsidRPr="00ED6DE4" w:rsidRDefault="00ED6DE4" w:rsidP="00ED6DE4">
            <w:pPr>
              <w:rPr>
                <w:rFonts w:ascii="Times New Roman" w:eastAsia="Times New Roman" w:hAnsi="Times New Roman" w:cs="Times New Roman"/>
                <w:color w:val="0F1C2D"/>
                <w:kern w:val="0"/>
                <w:lang w:eastAsia="en-GB"/>
                <w14:ligatures w14:val="none"/>
              </w:rPr>
            </w:pPr>
            <w:r w:rsidRPr="00ED6DE4">
              <w:rPr>
                <w:rFonts w:ascii="Times New Roman" w:eastAsia="Times New Roman" w:hAnsi="Times New Roman" w:cs="Times New Roman"/>
                <w:color w:val="0F1C2D"/>
                <w:kern w:val="0"/>
                <w:lang w:eastAsia="en-GB"/>
                <w14:ligatures w14:val="none"/>
              </w:rPr>
              <w:t>Barrier identification and prioritisation</w:t>
            </w:r>
          </w:p>
        </w:tc>
      </w:tr>
      <w:tr w:rsidR="00ED6DE4" w:rsidRPr="00ED6DE4" w:rsidTr="00ED6DE4">
        <w:trPr>
          <w:tblCellSpacing w:w="15" w:type="dxa"/>
        </w:trPr>
        <w:tc>
          <w:tcPr>
            <w:tcW w:w="3855" w:type="dxa"/>
            <w:tcBorders>
              <w:bottom w:val="single" w:sz="6" w:space="0" w:color="1F8CC6"/>
            </w:tcBorders>
            <w:shd w:val="clear" w:color="auto" w:fill="FAFCFE"/>
            <w:tcMar>
              <w:top w:w="150" w:type="dxa"/>
              <w:left w:w="150" w:type="dxa"/>
              <w:bottom w:w="150" w:type="dxa"/>
              <w:right w:w="150" w:type="dxa"/>
            </w:tcMar>
            <w:vAlign w:val="center"/>
            <w:hideMark/>
          </w:tcPr>
          <w:p w:rsidR="00ED6DE4" w:rsidRPr="00ED6DE4" w:rsidRDefault="00ED6DE4" w:rsidP="00ED6DE4">
            <w:pPr>
              <w:rPr>
                <w:rFonts w:ascii="Times New Roman" w:eastAsia="Times New Roman" w:hAnsi="Times New Roman" w:cs="Times New Roman"/>
                <w:b/>
                <w:bCs/>
                <w:color w:val="0F1C2D"/>
                <w:kern w:val="0"/>
                <w:lang w:eastAsia="en-GB"/>
                <w14:ligatures w14:val="none"/>
              </w:rPr>
            </w:pPr>
            <w:r w:rsidRPr="00ED6DE4">
              <w:rPr>
                <w:rFonts w:ascii="Times New Roman" w:eastAsia="Times New Roman" w:hAnsi="Times New Roman" w:cs="Times New Roman"/>
                <w:b/>
                <w:bCs/>
                <w:color w:val="0F1C2D"/>
                <w:kern w:val="0"/>
                <w:lang w:eastAsia="en-GB"/>
                <w14:ligatures w14:val="none"/>
              </w:rPr>
              <w:t>Bosna i Hercegovina</w:t>
            </w:r>
          </w:p>
        </w:tc>
        <w:tc>
          <w:tcPr>
            <w:tcW w:w="11565" w:type="dxa"/>
            <w:tcBorders>
              <w:bottom w:val="single" w:sz="6" w:space="0" w:color="1F8CC6"/>
            </w:tcBorders>
            <w:shd w:val="clear" w:color="auto" w:fill="FAFCFE"/>
            <w:tcMar>
              <w:top w:w="150" w:type="dxa"/>
              <w:left w:w="150" w:type="dxa"/>
              <w:bottom w:w="150" w:type="dxa"/>
              <w:right w:w="150" w:type="dxa"/>
            </w:tcMar>
            <w:vAlign w:val="center"/>
            <w:hideMark/>
          </w:tcPr>
          <w:p w:rsidR="00ED6DE4" w:rsidRPr="00ED6DE4" w:rsidRDefault="00ED6DE4" w:rsidP="00ED6DE4">
            <w:pPr>
              <w:rPr>
                <w:rFonts w:ascii="Times New Roman" w:eastAsia="Times New Roman" w:hAnsi="Times New Roman" w:cs="Times New Roman"/>
                <w:color w:val="0F1C2D"/>
                <w:kern w:val="0"/>
                <w:lang w:eastAsia="en-GB"/>
                <w14:ligatures w14:val="none"/>
              </w:rPr>
            </w:pPr>
            <w:r w:rsidRPr="00ED6DE4">
              <w:rPr>
                <w:rFonts w:ascii="Times New Roman" w:eastAsia="Times New Roman" w:hAnsi="Times New Roman" w:cs="Times New Roman"/>
                <w:color w:val="0F1C2D"/>
                <w:kern w:val="0"/>
                <w:lang w:eastAsia="en-GB"/>
                <w14:ligatures w14:val="none"/>
              </w:rPr>
              <w:t>Bosnia and Herzegovina</w:t>
            </w:r>
          </w:p>
        </w:tc>
      </w:tr>
      <w:tr w:rsidR="00ED6DE4" w:rsidRPr="00ED6DE4" w:rsidTr="00ED6DE4">
        <w:trPr>
          <w:tblCellSpacing w:w="15" w:type="dxa"/>
        </w:trPr>
        <w:tc>
          <w:tcPr>
            <w:tcW w:w="3855" w:type="dxa"/>
            <w:tcBorders>
              <w:bottom w:val="single" w:sz="6" w:space="0" w:color="1F8CC6"/>
            </w:tcBorders>
            <w:tcMar>
              <w:top w:w="150" w:type="dxa"/>
              <w:left w:w="150" w:type="dxa"/>
              <w:bottom w:w="150" w:type="dxa"/>
              <w:right w:w="150" w:type="dxa"/>
            </w:tcMar>
            <w:vAlign w:val="center"/>
            <w:hideMark/>
          </w:tcPr>
          <w:p w:rsidR="00ED6DE4" w:rsidRPr="00ED6DE4" w:rsidRDefault="00ED6DE4" w:rsidP="00ED6DE4">
            <w:pPr>
              <w:rPr>
                <w:rFonts w:ascii="Times New Roman" w:eastAsia="Times New Roman" w:hAnsi="Times New Roman" w:cs="Times New Roman"/>
                <w:b/>
                <w:bCs/>
                <w:color w:val="0F1C2D"/>
                <w:kern w:val="0"/>
                <w:lang w:eastAsia="en-GB"/>
                <w14:ligatures w14:val="none"/>
              </w:rPr>
            </w:pPr>
            <w:r w:rsidRPr="00ED6DE4">
              <w:rPr>
                <w:rFonts w:ascii="Times New Roman" w:eastAsia="Times New Roman" w:hAnsi="Times New Roman" w:cs="Times New Roman"/>
                <w:b/>
                <w:bCs/>
                <w:color w:val="0F1C2D"/>
                <w:kern w:val="0"/>
                <w:lang w:eastAsia="en-GB"/>
                <w14:ligatures w14:val="none"/>
              </w:rPr>
              <w:t>Neretva i pritoci</w:t>
            </w:r>
          </w:p>
        </w:tc>
        <w:tc>
          <w:tcPr>
            <w:tcW w:w="11565" w:type="dxa"/>
            <w:tcBorders>
              <w:bottom w:val="single" w:sz="6" w:space="0" w:color="1F8CC6"/>
            </w:tcBorders>
            <w:tcMar>
              <w:top w:w="150" w:type="dxa"/>
              <w:left w:w="150" w:type="dxa"/>
              <w:bottom w:w="150" w:type="dxa"/>
              <w:right w:w="150" w:type="dxa"/>
            </w:tcMar>
            <w:vAlign w:val="center"/>
            <w:hideMark/>
          </w:tcPr>
          <w:p w:rsidR="00ED6DE4" w:rsidRPr="00ED6DE4" w:rsidRDefault="00ED6DE4" w:rsidP="00ED6DE4">
            <w:pPr>
              <w:rPr>
                <w:rFonts w:ascii="Times New Roman" w:eastAsia="Times New Roman" w:hAnsi="Times New Roman" w:cs="Times New Roman"/>
                <w:color w:val="0F1C2D"/>
                <w:kern w:val="0"/>
                <w:lang w:eastAsia="en-GB"/>
                <w14:ligatures w14:val="none"/>
              </w:rPr>
            </w:pPr>
            <w:r w:rsidRPr="00ED6DE4">
              <w:rPr>
                <w:rFonts w:ascii="Times New Roman" w:eastAsia="Times New Roman" w:hAnsi="Times New Roman" w:cs="Times New Roman"/>
                <w:color w:val="0F1C2D"/>
                <w:kern w:val="0"/>
                <w:lang w:eastAsia="en-GB"/>
                <w14:ligatures w14:val="none"/>
              </w:rPr>
              <w:t>Neretva and tributaries</w:t>
            </w:r>
          </w:p>
        </w:tc>
      </w:tr>
      <w:tr w:rsidR="00ED6DE4" w:rsidRPr="00ED6DE4" w:rsidTr="00ED6DE4">
        <w:trPr>
          <w:tblCellSpacing w:w="15" w:type="dxa"/>
        </w:trPr>
        <w:tc>
          <w:tcPr>
            <w:tcW w:w="3855" w:type="dxa"/>
            <w:tcBorders>
              <w:bottom w:val="single" w:sz="6" w:space="0" w:color="1F8CC6"/>
            </w:tcBorders>
            <w:shd w:val="clear" w:color="auto" w:fill="FAFCFE"/>
            <w:tcMar>
              <w:top w:w="150" w:type="dxa"/>
              <w:left w:w="150" w:type="dxa"/>
              <w:bottom w:w="150" w:type="dxa"/>
              <w:right w:w="150" w:type="dxa"/>
            </w:tcMar>
            <w:vAlign w:val="center"/>
            <w:hideMark/>
          </w:tcPr>
          <w:p w:rsidR="00ED6DE4" w:rsidRPr="00ED6DE4" w:rsidRDefault="00ED6DE4" w:rsidP="00ED6DE4">
            <w:pPr>
              <w:rPr>
                <w:rFonts w:ascii="Times New Roman" w:eastAsia="Times New Roman" w:hAnsi="Times New Roman" w:cs="Times New Roman"/>
                <w:b/>
                <w:bCs/>
                <w:color w:val="0F1C2D"/>
                <w:kern w:val="0"/>
                <w:lang w:eastAsia="en-GB"/>
                <w14:ligatures w14:val="none"/>
              </w:rPr>
            </w:pPr>
            <w:r w:rsidRPr="00ED6DE4">
              <w:rPr>
                <w:rFonts w:ascii="Times New Roman" w:eastAsia="Times New Roman" w:hAnsi="Times New Roman" w:cs="Times New Roman"/>
                <w:b/>
                <w:bCs/>
                <w:color w:val="0F1C2D"/>
                <w:kern w:val="0"/>
                <w:lang w:eastAsia="en-GB"/>
                <w14:ligatures w14:val="none"/>
              </w:rPr>
              <w:t>Mekousna pastrva, glavatica i zubatac pastrva</w:t>
            </w:r>
          </w:p>
        </w:tc>
        <w:tc>
          <w:tcPr>
            <w:tcW w:w="11565" w:type="dxa"/>
            <w:tcBorders>
              <w:bottom w:val="single" w:sz="6" w:space="0" w:color="1F8CC6"/>
            </w:tcBorders>
            <w:shd w:val="clear" w:color="auto" w:fill="FAFCFE"/>
            <w:tcMar>
              <w:top w:w="150" w:type="dxa"/>
              <w:left w:w="150" w:type="dxa"/>
              <w:bottom w:w="150" w:type="dxa"/>
              <w:right w:w="150" w:type="dxa"/>
            </w:tcMar>
            <w:vAlign w:val="center"/>
            <w:hideMark/>
          </w:tcPr>
          <w:p w:rsidR="00ED6DE4" w:rsidRPr="00ED6DE4" w:rsidRDefault="00ED6DE4" w:rsidP="00ED6DE4">
            <w:pPr>
              <w:rPr>
                <w:rFonts w:ascii="Times New Roman" w:eastAsia="Times New Roman" w:hAnsi="Times New Roman" w:cs="Times New Roman"/>
                <w:color w:val="0F1C2D"/>
                <w:kern w:val="0"/>
                <w:lang w:eastAsia="en-GB"/>
                <w14:ligatures w14:val="none"/>
              </w:rPr>
            </w:pPr>
            <w:r w:rsidRPr="00ED6DE4">
              <w:rPr>
                <w:rFonts w:ascii="Times New Roman" w:eastAsia="Times New Roman" w:hAnsi="Times New Roman" w:cs="Times New Roman"/>
                <w:color w:val="0F1C2D"/>
                <w:kern w:val="0"/>
                <w:lang w:eastAsia="en-GB"/>
                <w14:ligatures w14:val="none"/>
              </w:rPr>
              <w:t>Soft-mouth trout, marble trout and dentex trout</w:t>
            </w:r>
          </w:p>
        </w:tc>
      </w:tr>
      <w:tr w:rsidR="00ED6DE4" w:rsidRPr="00ED6DE4" w:rsidTr="00ED6DE4">
        <w:trPr>
          <w:tblCellSpacing w:w="15" w:type="dxa"/>
        </w:trPr>
        <w:tc>
          <w:tcPr>
            <w:tcW w:w="3855" w:type="dxa"/>
            <w:tcBorders>
              <w:bottom w:val="single" w:sz="6" w:space="0" w:color="1F8CC6"/>
            </w:tcBorders>
            <w:tcMar>
              <w:top w:w="150" w:type="dxa"/>
              <w:left w:w="150" w:type="dxa"/>
              <w:bottom w:w="150" w:type="dxa"/>
              <w:right w:w="150" w:type="dxa"/>
            </w:tcMar>
            <w:vAlign w:val="center"/>
            <w:hideMark/>
          </w:tcPr>
          <w:p w:rsidR="00ED6DE4" w:rsidRPr="00ED6DE4" w:rsidRDefault="00ED6DE4" w:rsidP="00ED6DE4">
            <w:pPr>
              <w:rPr>
                <w:rFonts w:ascii="Times New Roman" w:eastAsia="Times New Roman" w:hAnsi="Times New Roman" w:cs="Times New Roman"/>
                <w:b/>
                <w:bCs/>
                <w:color w:val="0F1C2D"/>
                <w:kern w:val="0"/>
                <w:lang w:eastAsia="en-GB"/>
                <w14:ligatures w14:val="none"/>
              </w:rPr>
            </w:pPr>
            <w:r w:rsidRPr="00ED6DE4">
              <w:rPr>
                <w:rFonts w:ascii="Times New Roman" w:eastAsia="Times New Roman" w:hAnsi="Times New Roman" w:cs="Times New Roman"/>
                <w:b/>
                <w:bCs/>
                <w:color w:val="0F1C2D"/>
                <w:kern w:val="0"/>
                <w:lang w:eastAsia="en-GB"/>
                <w14:ligatures w14:val="none"/>
              </w:rPr>
              <w:t>Udruga Dinarica</w:t>
            </w:r>
          </w:p>
        </w:tc>
        <w:tc>
          <w:tcPr>
            <w:tcW w:w="11565" w:type="dxa"/>
            <w:tcBorders>
              <w:bottom w:val="single" w:sz="6" w:space="0" w:color="1F8CC6"/>
            </w:tcBorders>
            <w:tcMar>
              <w:top w:w="150" w:type="dxa"/>
              <w:left w:w="150" w:type="dxa"/>
              <w:bottom w:w="150" w:type="dxa"/>
              <w:right w:w="150" w:type="dxa"/>
            </w:tcMar>
            <w:vAlign w:val="center"/>
            <w:hideMark/>
          </w:tcPr>
          <w:p w:rsidR="00ED6DE4" w:rsidRPr="00ED6DE4" w:rsidRDefault="00ED6DE4" w:rsidP="00ED6DE4">
            <w:pPr>
              <w:rPr>
                <w:rFonts w:ascii="Times New Roman" w:eastAsia="Times New Roman" w:hAnsi="Times New Roman" w:cs="Times New Roman"/>
                <w:color w:val="0F1C2D"/>
                <w:kern w:val="0"/>
                <w:lang w:eastAsia="en-GB"/>
                <w14:ligatures w14:val="none"/>
              </w:rPr>
            </w:pPr>
            <w:r w:rsidRPr="00ED6DE4">
              <w:rPr>
                <w:rFonts w:ascii="Times New Roman" w:eastAsia="Times New Roman" w:hAnsi="Times New Roman" w:cs="Times New Roman"/>
                <w:color w:val="0F1C2D"/>
                <w:kern w:val="0"/>
                <w:lang w:eastAsia="en-GB"/>
                <w14:ligatures w14:val="none"/>
              </w:rPr>
              <w:t>Udruga Dinarica</w:t>
            </w:r>
          </w:p>
        </w:tc>
      </w:tr>
      <w:tr w:rsidR="00ED6DE4" w:rsidRPr="00ED6DE4" w:rsidTr="00ED6DE4">
        <w:trPr>
          <w:tblCellSpacing w:w="15" w:type="dxa"/>
        </w:trPr>
        <w:tc>
          <w:tcPr>
            <w:tcW w:w="3855" w:type="dxa"/>
            <w:tcBorders>
              <w:bottom w:val="single" w:sz="6" w:space="0" w:color="1F8CC6"/>
            </w:tcBorders>
            <w:shd w:val="clear" w:color="auto" w:fill="FAFCFE"/>
            <w:tcMar>
              <w:top w:w="150" w:type="dxa"/>
              <w:left w:w="150" w:type="dxa"/>
              <w:bottom w:w="150" w:type="dxa"/>
              <w:right w:w="150" w:type="dxa"/>
            </w:tcMar>
            <w:vAlign w:val="center"/>
            <w:hideMark/>
          </w:tcPr>
          <w:p w:rsidR="00ED6DE4" w:rsidRPr="00ED6DE4" w:rsidRDefault="00ED6DE4" w:rsidP="00ED6DE4">
            <w:pPr>
              <w:rPr>
                <w:rFonts w:ascii="Times New Roman" w:eastAsia="Times New Roman" w:hAnsi="Times New Roman" w:cs="Times New Roman"/>
                <w:b/>
                <w:bCs/>
                <w:color w:val="0F1C2D"/>
                <w:kern w:val="0"/>
                <w:lang w:eastAsia="en-GB"/>
                <w14:ligatures w14:val="none"/>
              </w:rPr>
            </w:pPr>
            <w:r w:rsidRPr="00ED6DE4">
              <w:rPr>
                <w:rFonts w:ascii="Times New Roman" w:eastAsia="Times New Roman" w:hAnsi="Times New Roman" w:cs="Times New Roman"/>
                <w:b/>
                <w:bCs/>
                <w:color w:val="0F1C2D"/>
                <w:kern w:val="0"/>
                <w:lang w:eastAsia="en-GB"/>
                <w14:ligatures w14:val="none"/>
              </w:rPr>
              <w:t>Dinarica.org</w:t>
            </w:r>
          </w:p>
        </w:tc>
        <w:tc>
          <w:tcPr>
            <w:tcW w:w="11565" w:type="dxa"/>
            <w:tcBorders>
              <w:bottom w:val="single" w:sz="6" w:space="0" w:color="1F8CC6"/>
            </w:tcBorders>
            <w:shd w:val="clear" w:color="auto" w:fill="FAFCFE"/>
            <w:tcMar>
              <w:top w:w="150" w:type="dxa"/>
              <w:left w:w="150" w:type="dxa"/>
              <w:bottom w:w="150" w:type="dxa"/>
              <w:right w:w="150" w:type="dxa"/>
            </w:tcMar>
            <w:vAlign w:val="center"/>
            <w:hideMark/>
          </w:tcPr>
          <w:p w:rsidR="00ED6DE4" w:rsidRPr="00ED6DE4" w:rsidRDefault="00000000" w:rsidP="00ED6DE4">
            <w:pPr>
              <w:rPr>
                <w:rFonts w:ascii="Times New Roman" w:eastAsia="Times New Roman" w:hAnsi="Times New Roman" w:cs="Times New Roman"/>
                <w:color w:val="0F1C2D"/>
                <w:kern w:val="0"/>
                <w:lang w:eastAsia="en-GB"/>
                <w14:ligatures w14:val="none"/>
              </w:rPr>
            </w:pPr>
            <w:hyperlink r:id="rId5" w:history="1">
              <w:r w:rsidR="00ED6DE4" w:rsidRPr="00ED6DE4">
                <w:rPr>
                  <w:rFonts w:ascii="Times New Roman" w:eastAsia="Times New Roman" w:hAnsi="Times New Roman" w:cs="Times New Roman"/>
                  <w:color w:val="0F1C2D"/>
                  <w:kern w:val="0"/>
                  <w:u w:val="single"/>
                  <w:lang w:eastAsia="en-GB"/>
                  <w14:ligatures w14:val="none"/>
                </w:rPr>
                <w:t>Dinarica.org</w:t>
              </w:r>
              <w:r w:rsidR="00ED6DE4" w:rsidRPr="00ED6DE4">
                <w:rPr>
                  <w:rFonts w:ascii="Times New Roman" w:eastAsia="Times New Roman" w:hAnsi="Times New Roman" w:cs="Times New Roman"/>
                  <w:color w:val="0F1C2D"/>
                  <w:kern w:val="0"/>
                  <w:lang w:eastAsia="en-GB"/>
                  <w14:ligatures w14:val="none"/>
                </w:rPr>
                <w:t> </w:t>
              </w:r>
            </w:hyperlink>
            <w:r w:rsidR="00ED6DE4">
              <w:t>Dinarica.org </w:t>
            </w:r>
          </w:p>
        </w:tc>
      </w:tr>
    </w:tbl>
    <w:p w:rsidR="00AD5722" w:rsidRDefault="00AD5722" w:rsidP="00ED6DE4">
      <w:pPr>
        <w:shd w:val="clear" w:color="auto" w:fill="FFFFFF"/>
        <w:spacing w:after="360"/>
        <w:outlineLvl w:val="1"/>
        <w:rPr>
          <w:rFonts w:ascii="Arial" w:eastAsia="Times New Roman" w:hAnsi="Arial" w:cs="Arial"/>
          <w:b/>
          <w:bCs/>
          <w:color w:val="1F8CC6"/>
          <w:kern w:val="0"/>
          <w:lang w:eastAsia="en-GB"/>
          <w14:ligatures w14:val="none"/>
        </w:rPr>
      </w:pPr>
    </w:p>
    <w:p w:rsidR="00ED6DE4" w:rsidRPr="00ED6DE4" w:rsidRDefault="00ED6DE4" w:rsidP="00ED6DE4">
      <w:pPr>
        <w:shd w:val="clear" w:color="auto" w:fill="FFFFFF"/>
        <w:spacing w:after="360"/>
        <w:outlineLvl w:val="1"/>
        <w:rPr>
          <w:rFonts w:ascii="Arial" w:eastAsia="Times New Roman" w:hAnsi="Arial" w:cs="Arial"/>
          <w:b/>
          <w:bCs/>
          <w:color w:val="1F8CC6"/>
          <w:kern w:val="0"/>
          <w:lang w:eastAsia="en-GB"/>
          <w14:ligatures w14:val="none"/>
        </w:rPr>
      </w:pPr>
      <w:r w:rsidRPr="00ED6DE4">
        <w:rPr>
          <w:rFonts w:ascii="Arial" w:eastAsia="Times New Roman" w:hAnsi="Arial" w:cs="Arial"/>
          <w:b/>
          <w:bCs/>
          <w:color w:val="1F8CC6"/>
          <w:kern w:val="0"/>
          <w:lang w:eastAsia="en-GB"/>
          <w14:ligatures w14:val="none"/>
        </w:rPr>
        <w:t>Kontekst projekta i prilika</w:t>
      </w:r>
    </w:p>
    <w:p w:rsidR="00ED6DE4" w:rsidRPr="00ED6DE4" w:rsidRDefault="00ED6DE4" w:rsidP="00ED6DE4">
      <w:pPr>
        <w:shd w:val="clear" w:color="auto" w:fill="FFFFFF"/>
        <w:spacing w:after="360"/>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Donedavno se rijeka Neretva mogla pohvaliti raznolikom populacijom endemskih vrsta pastrva, uključujući ugrožene mekousnu, glavatica i zubatac pastrvu. Međutim, izgradnja brana na glavnom toku Neretve dovela je do fragmentacije tih populacija u nekoliko potpopulacija, čime su dovedene na rub izumiranja. Procjenjuje se da je u slivu rijeke Neretve preostalo samo 12 % povijesne populacije pastrva.</w:t>
      </w:r>
    </w:p>
    <w:p w:rsidR="00ED6DE4" w:rsidRPr="00ED6DE4" w:rsidRDefault="00ED6DE4" w:rsidP="00ED6DE4">
      <w:pPr>
        <w:shd w:val="clear" w:color="auto" w:fill="FFFFFF"/>
        <w:spacing w:after="360"/>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Izgradnja brana prisilila je endemske pastrve da se presele u pritoke i manje vodotoke unutar sliva. Nažalost, brojne zastarjele prepreke u tim manjim vodotocima dodatno razdvajaju populacije. Kako bi se populacija endemskih pastrva u Neretvi stabilizirala i obnovila, glavni je cilj projekta očuvati prostor za kretanje riba te osigurati povezanost manjih vodotoka i pritoka.</w:t>
      </w:r>
    </w:p>
    <w:p w:rsidR="00ED6DE4" w:rsidRPr="00ED6DE4" w:rsidRDefault="00ED6DE4" w:rsidP="00ED6DE4">
      <w:pPr>
        <w:shd w:val="clear" w:color="auto" w:fill="FFFFFF"/>
        <w:spacing w:after="360"/>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Osim fragmentacije staništa, izgradnja i rad hidroenergetske infrastrukture u srednjem toku Neretve otežali su prijenos sedimenta do delte Neretve, što je dovelo do manjka aluvijalnog nanosa i snižavanja riječnog korita. Tri desetljeća nakon izgradnje posljednje brane, riječno korito u delti Neretve produbilo se za 1,5 metara, čime su znatno izmijenjena slatkovodna staništa. To je dodatno fragmentiralo populacije endemskih pastrva u nekoliko potpopulacija kojima prijeti izumiranje, jer su brane promijenile glavne tokove i pritoke te utjecale na različite ekosustave.</w:t>
      </w:r>
    </w:p>
    <w:p w:rsidR="00ED6DE4" w:rsidRPr="00ED6DE4" w:rsidRDefault="00ED6DE4" w:rsidP="00ED6DE4">
      <w:pPr>
        <w:shd w:val="clear" w:color="auto" w:fill="FFFFFF"/>
        <w:spacing w:after="360"/>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 xml:space="preserve">Najveće vodene površine i količine vode danas su ograničene na umjetna jezera u kojima prevladavaju unesene vrste. Ostaci populacija endemskih pastrva još se mogu pronaći u većini akumulacija, ali nema uspješnog razmnožavanja ni novačenja mladih jedinki. Preostale jedinke opstaju u dubljim i hladnijim područjima, no njihova </w:t>
      </w:r>
      <w:r w:rsidRPr="00ED6DE4">
        <w:rPr>
          <w:rFonts w:ascii="Arial" w:eastAsia="Times New Roman" w:hAnsi="Arial" w:cs="Arial"/>
          <w:color w:val="0F1C2D"/>
          <w:kern w:val="0"/>
          <w:lang w:eastAsia="en-GB"/>
          <w14:ligatures w14:val="none"/>
        </w:rPr>
        <w:lastRenderedPageBreak/>
        <w:t>je migracija prema mogućim povijesnim mrijestilištima u gornjim i donjim dijelovima glavnog vodotoka otežana. Iako pritoci akumulacija na Neretvi mogu poslužiti kao nova mrijestilišta, različite prepreke onemogućuju uspješan mrijest.</w:t>
      </w:r>
    </w:p>
    <w:p w:rsidR="00ED6DE4" w:rsidRPr="00ED6DE4" w:rsidRDefault="00ED6DE4" w:rsidP="00ED6DE4">
      <w:pPr>
        <w:shd w:val="clear" w:color="auto" w:fill="FFFFFF"/>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Lokalna populacija, koja je nekoć predstavljala gospodarski resurs s godišnjim ulovom od 250 tona, pretrpjela je posljedice izgradnje brana u srednjem toku Neretve, koje ometaju uzvodnu i nizvodnu migraciju europske jegulje. Utjecaj hidroelektrana na Trebišnjici smanjio je populaciju europske jegulje u močvari Hutovo blato na svega 1 % povijesne biomase. Cilj projekta je poboljšati uzvodnu migraciju staklenih jegulja i nizvodnu migraciju odraslih jedinki te tako doprinijeti očuvanju ove važne vrste.</w:t>
      </w:r>
    </w:p>
    <w:p w:rsidR="00AD5722" w:rsidRDefault="00AD5722" w:rsidP="00ED6DE4">
      <w:pPr>
        <w:shd w:val="clear" w:color="auto" w:fill="FFFFFF"/>
        <w:spacing w:after="360"/>
        <w:outlineLvl w:val="1"/>
        <w:rPr>
          <w:rFonts w:ascii="Arial" w:eastAsia="Times New Roman" w:hAnsi="Arial" w:cs="Arial"/>
          <w:b/>
          <w:bCs/>
          <w:color w:val="1F8CC6"/>
          <w:kern w:val="0"/>
          <w:lang w:eastAsia="en-GB"/>
          <w14:ligatures w14:val="none"/>
        </w:rPr>
      </w:pPr>
    </w:p>
    <w:p w:rsidR="00ED6DE4" w:rsidRPr="00ED6DE4" w:rsidRDefault="00ED6DE4" w:rsidP="00ED6DE4">
      <w:pPr>
        <w:shd w:val="clear" w:color="auto" w:fill="FFFFFF"/>
        <w:spacing w:after="360"/>
        <w:outlineLvl w:val="1"/>
        <w:rPr>
          <w:rFonts w:ascii="Arial" w:eastAsia="Times New Roman" w:hAnsi="Arial" w:cs="Arial"/>
          <w:b/>
          <w:bCs/>
          <w:color w:val="1F8CC6"/>
          <w:kern w:val="0"/>
          <w:lang w:eastAsia="en-GB"/>
          <w14:ligatures w14:val="none"/>
        </w:rPr>
      </w:pPr>
      <w:r w:rsidRPr="00ED6DE4">
        <w:rPr>
          <w:rFonts w:ascii="Arial" w:eastAsia="Times New Roman" w:hAnsi="Arial" w:cs="Arial"/>
          <w:b/>
          <w:bCs/>
          <w:color w:val="1F8CC6"/>
          <w:kern w:val="0"/>
          <w:lang w:eastAsia="en-GB"/>
          <w14:ligatures w14:val="none"/>
        </w:rPr>
        <w:t>Ciljevi projekta</w:t>
      </w:r>
    </w:p>
    <w:p w:rsidR="00ED6DE4" w:rsidRPr="00ED6DE4" w:rsidRDefault="00ED6DE4" w:rsidP="00ED6DE4">
      <w:pPr>
        <w:shd w:val="clear" w:color="auto" w:fill="FFFFFF"/>
        <w:spacing w:after="360"/>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Lokalne nevladine organizacije i volonteri imat će ključnu ulogu u početnom terenskom istraživanju, pružajući vrijedne informacije o lokacijama prepreka i zapreka duž riječne mreže od 200 kilometara. Stručni tim projekta nakon ovog preliminarnog istraživanja provest će detaljno terensko istraživanje. Osim inventarizacije prepreka, tim će provesti i ihtiološku analizu kako bi procijenio utjecaj uklanjanja prepreka na mrijestilišta endemskih riba. Analizirat će se i hidrološki podaci te učinci uklanjanja prepreka na prijenos sedimenta.</w:t>
      </w:r>
    </w:p>
    <w:p w:rsidR="00ED6DE4" w:rsidRPr="00ED6DE4" w:rsidRDefault="00ED6DE4" w:rsidP="00ED6DE4">
      <w:pPr>
        <w:shd w:val="clear" w:color="auto" w:fill="FFFFFF"/>
        <w:spacing w:after="360"/>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Komunikacijske aktivnosti osmišljene su kako bi se mobilizirale lokalne nevladine organizacije i izvršio dodatni pritisak na lokalne vlasti. Medijski sadržaji i materijali za odnose s javnošću redovito će se objavljivati, uz druge dokazano učinkovite alate, poput reklamnih panoa, plakata i letaka.</w:t>
      </w:r>
    </w:p>
    <w:p w:rsidR="00ED6DE4" w:rsidRPr="00ED6DE4" w:rsidRDefault="00ED6DE4" w:rsidP="00ED6DE4">
      <w:pPr>
        <w:shd w:val="clear" w:color="auto" w:fill="FFFFFF"/>
        <w:spacing w:after="360"/>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Izravna suradnja s lokalnim zajednicama, županijskim i federalnim vlastima te agencijom za upravljanje vodama nadležnom za sliv Neretve ključan je aspekt projekta. Organizirat će se jedan okrugli stol i pet sastanaka s relevantnim dionicima kako bi se sve strane uključile od samog početka projekta. Projektom će se izraditi studija društvenog utjecaja kojom će se analizirati i pratiti društvene posljedice planiranog uklanjanja prepreka, vlasnička struktura i korištenje prepreka od strane lokalnih zajednica.</w:t>
      </w:r>
    </w:p>
    <w:p w:rsidR="00ED6DE4" w:rsidRPr="00ED6DE4" w:rsidRDefault="00ED6DE4" w:rsidP="00ED6DE4">
      <w:pPr>
        <w:shd w:val="clear" w:color="auto" w:fill="FFFFFF"/>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Ovaj projekt predstavlja posljednju priliku za očuvanje endemskih vrsta pastrva Neretve. Uvođenjem inovativnog i jedinstvenog rješenja koje dosad nije primijenjeno na Balkanu, projekt se bavi dugogodišnjim problemom koji seže do izgradnje prve hidroelektrane na Neretvi, Jablanice, 1947. godine. Unatoč godišnjim ulaganjima od milijuna eura u poribljavanje endemskim pastrvama, stanje se pogoršalo. Danas su te vrste na rubu izumiranja. Ribljim prolazima na visokim branama ne bi se poboljšalo stanje jer je uz svaku branu vezana velika eutrofna akumulacija koja nije pogodna za opstanak pastrva.</w:t>
      </w:r>
    </w:p>
    <w:p w:rsidR="00ED6DE4" w:rsidRPr="00ED6DE4" w:rsidRDefault="00ED6DE4" w:rsidP="00ED6DE4">
      <w:pPr>
        <w:shd w:val="clear" w:color="auto" w:fill="FFFFFF"/>
        <w:spacing w:after="360"/>
        <w:outlineLvl w:val="1"/>
        <w:rPr>
          <w:rFonts w:ascii="Arial" w:eastAsia="Times New Roman" w:hAnsi="Arial" w:cs="Arial"/>
          <w:b/>
          <w:bCs/>
          <w:color w:val="1F8CC6"/>
          <w:kern w:val="0"/>
          <w:lang w:eastAsia="en-GB"/>
          <w14:ligatures w14:val="none"/>
        </w:rPr>
      </w:pPr>
      <w:r w:rsidRPr="00ED6DE4">
        <w:rPr>
          <w:rFonts w:ascii="Arial" w:eastAsia="Times New Roman" w:hAnsi="Arial" w:cs="Arial"/>
          <w:b/>
          <w:bCs/>
          <w:color w:val="1F8CC6"/>
          <w:kern w:val="0"/>
          <w:lang w:eastAsia="en-GB"/>
          <w14:ligatures w14:val="none"/>
        </w:rPr>
        <w:t>Postignuća projekta</w:t>
      </w:r>
    </w:p>
    <w:p w:rsidR="00ED6DE4" w:rsidRPr="00ED6DE4" w:rsidRDefault="00ED6DE4" w:rsidP="00ED6DE4">
      <w:pPr>
        <w:shd w:val="clear" w:color="auto" w:fill="FFFFFF"/>
        <w:spacing w:after="360"/>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 xml:space="preserve">Na početku provedbe projekta Udruga Dinarica okupila je stručni tim koji je vodio ključne projektne aktivnosti. U proljeće 2024. tim Udruge Dinarica, u suradnji sa </w:t>
      </w:r>
      <w:r w:rsidRPr="00ED6DE4">
        <w:rPr>
          <w:rFonts w:ascii="Arial" w:eastAsia="Times New Roman" w:hAnsi="Arial" w:cs="Arial"/>
          <w:color w:val="0F1C2D"/>
          <w:kern w:val="0"/>
          <w:lang w:eastAsia="en-GB"/>
          <w14:ligatures w14:val="none"/>
        </w:rPr>
        <w:lastRenderedPageBreak/>
        <w:t>stručnjacima, proveo je nekoliko terenskih obilazaka i identificirao više prepreka na pritocima. U blizini tih prepreka često je opažen mrijest riba, što potvrđuje utjecaj tih zapreka. Istraživanje su uvelike podržali članovi ribolovne udruge, koji pomno prate područje tijekom sezone mrijesta.</w:t>
      </w:r>
    </w:p>
    <w:p w:rsidR="00ED6DE4" w:rsidRPr="00ED6DE4" w:rsidRDefault="00ED6DE4" w:rsidP="00ED6DE4">
      <w:pPr>
        <w:shd w:val="clear" w:color="auto" w:fill="FFFFFF"/>
        <w:spacing w:after="360"/>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Projekt se provodio uključivo, uz sudjelovanje lokalne zajednice, uprave i drugih dionika koji mogu podržati uklanjanje prepreka u korist ekosustava. Uspostavljena je značajna suradnja s Udrugom sportskih ribolovaca Konjic i ekološkom organizacijom Zeleni Neretva Konjic – dvjema lokalnim nevladinim organizacijama koje aktivno sudjeluju u zaštiti rijeke Neretve i njezinih pritoka.</w:t>
      </w:r>
    </w:p>
    <w:p w:rsidR="00ED6DE4" w:rsidRPr="00ED6DE4" w:rsidRDefault="00ED6DE4" w:rsidP="00ED6DE4">
      <w:pPr>
        <w:shd w:val="clear" w:color="auto" w:fill="FFFFFF"/>
        <w:spacing w:after="360"/>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Održano je i nekoliko sastanaka s Gradskom upravom Konjica, uključujući otvorene rasprave o izvedivosti i važnosti budućeg uklanjanja prepreka. Projekt je predstavljen i na sastanku Mreže nevladinih organizacija za zaštitu prirode u Bosni i Hercegovini, održanom u Blagaju.</w:t>
      </w:r>
    </w:p>
    <w:p w:rsidR="00ED6DE4" w:rsidRDefault="00ED6DE4" w:rsidP="00ED6DE4">
      <w:pPr>
        <w:shd w:val="clear" w:color="auto" w:fill="FFFFFF"/>
        <w:spacing w:after="360"/>
        <w:rPr>
          <w:rFonts w:ascii="Arial" w:eastAsia="Times New Roman" w:hAnsi="Arial" w:cs="Arial"/>
          <w:color w:val="0F1C2D"/>
          <w:kern w:val="0"/>
          <w:lang w:eastAsia="en-GB"/>
          <w14:ligatures w14:val="none"/>
        </w:rPr>
      </w:pPr>
      <w:r w:rsidRPr="00ED6DE4">
        <w:rPr>
          <w:rFonts w:ascii="Arial" w:eastAsia="Times New Roman" w:hAnsi="Arial" w:cs="Arial"/>
          <w:color w:val="0F1C2D"/>
          <w:kern w:val="0"/>
          <w:lang w:eastAsia="en-GB"/>
          <w14:ligatures w14:val="none"/>
        </w:rPr>
        <w:t>Naposljetku, projekt je znatno unaprijedio napore usmjerene na procjenu trenutačnog stanja i identifikaciju prepreka u slivu, osobito na ekološki osjetljivim rijekama koje su pritoci Neretve.</w:t>
      </w:r>
    </w:p>
    <w:p w:rsidR="00ED6DE4" w:rsidRDefault="00ED6DE4" w:rsidP="00ED6DE4">
      <w:pPr>
        <w:shd w:val="clear" w:color="auto" w:fill="FFFFFF"/>
        <w:spacing w:after="360"/>
        <w:rPr>
          <w:rFonts w:ascii="Arial" w:eastAsia="Times New Roman" w:hAnsi="Arial" w:cs="Arial"/>
          <w:color w:val="0F1C2D"/>
          <w:kern w:val="0"/>
          <w:lang w:eastAsia="en-GB"/>
          <w14:ligatures w14:val="none"/>
        </w:rPr>
      </w:pPr>
    </w:p>
    <w:p w:rsidR="00ED6DE4" w:rsidRDefault="00ED6DE4" w:rsidP="00ED6DE4">
      <w:pPr>
        <w:shd w:val="clear" w:color="auto" w:fill="FFFFFF"/>
        <w:spacing w:after="360"/>
      </w:pPr>
      <w:r>
        <w:fldChar w:fldCharType="begin"/>
      </w:r>
      <w:r>
        <w:instrText xml:space="preserve"> INCLUDEPICTURE "/Users/Edo/Library/Group Containers/UBF8T346G9.ms/WebArchiveCopyPasteTempFiles/com.microsoft.Word/bregava.jpg" \* MERGEFORMATINET </w:instrText>
      </w:r>
      <w:r>
        <w:fldChar w:fldCharType="separate"/>
      </w:r>
      <w:r>
        <w:rPr>
          <w:noProof/>
        </w:rPr>
        <w:drawing>
          <wp:inline distT="0" distB="0" distL="0" distR="0">
            <wp:extent cx="5731510" cy="3224530"/>
            <wp:effectExtent l="0" t="0" r="0" b="1270"/>
            <wp:docPr id="959532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224530"/>
                    </a:xfrm>
                    <a:prstGeom prst="rect">
                      <a:avLst/>
                    </a:prstGeom>
                    <a:noFill/>
                    <a:ln>
                      <a:noFill/>
                    </a:ln>
                  </pic:spPr>
                </pic:pic>
              </a:graphicData>
            </a:graphic>
          </wp:inline>
        </w:drawing>
      </w:r>
      <w:r>
        <w:fldChar w:fldCharType="end"/>
      </w:r>
    </w:p>
    <w:p w:rsidR="00ED6DE4" w:rsidRPr="00ED6DE4" w:rsidRDefault="00ED6DE4" w:rsidP="00ED6DE4">
      <w:pPr>
        <w:shd w:val="clear" w:color="auto" w:fill="FFFFFF"/>
        <w:spacing w:after="360"/>
        <w:rPr>
          <w:rFonts w:ascii="Arial" w:eastAsia="Times New Roman" w:hAnsi="Arial" w:cs="Arial"/>
          <w:color w:val="0F1C2D"/>
          <w:kern w:val="0"/>
          <w:lang w:eastAsia="en-GB"/>
          <w14:ligatures w14:val="none"/>
        </w:rPr>
      </w:pPr>
      <w:r>
        <w:lastRenderedPageBreak/>
        <w:fldChar w:fldCharType="begin"/>
      </w:r>
      <w:r>
        <w:instrText xml:space="preserve"> INCLUDEPICTURE "/Users/Edo/Library/Group Containers/UBF8T346G9.ms/WebArchiveCopyPasteTempFiles/com.microsoft.Word/krupa-river.png" \* MERGEFORMATINET </w:instrText>
      </w:r>
      <w:r>
        <w:fldChar w:fldCharType="separate"/>
      </w:r>
      <w:r>
        <w:rPr>
          <w:noProof/>
        </w:rPr>
        <w:drawing>
          <wp:inline distT="0" distB="0" distL="0" distR="0">
            <wp:extent cx="5731510" cy="3094355"/>
            <wp:effectExtent l="0" t="0" r="0" b="4445"/>
            <wp:docPr id="11528181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094355"/>
                    </a:xfrm>
                    <a:prstGeom prst="rect">
                      <a:avLst/>
                    </a:prstGeom>
                    <a:noFill/>
                    <a:ln>
                      <a:noFill/>
                    </a:ln>
                  </pic:spPr>
                </pic:pic>
              </a:graphicData>
            </a:graphic>
          </wp:inline>
        </w:drawing>
      </w:r>
      <w:r>
        <w:fldChar w:fldCharType="end"/>
      </w:r>
    </w:p>
    <w:p w:rsidR="00ED6DE4" w:rsidRPr="00ED6DE4" w:rsidRDefault="00ED6DE4"/>
    <w:sectPr w:rsidR="00ED6DE4" w:rsidRPr="00ED6D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C17DD"/>
    <w:multiLevelType w:val="multilevel"/>
    <w:tmpl w:val="7B5878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9147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DE4"/>
    <w:rsid w:val="0090012F"/>
    <w:rsid w:val="00AD5722"/>
    <w:rsid w:val="00ED6DE4"/>
  </w:rsids>
  <m:mathPr>
    <m:mathFont m:val="Cambria Math"/>
    <m:brkBin m:val="before"/>
    <m:brkBinSub m:val="--"/>
    <m:smallFrac m:val="0"/>
    <m:dispDef/>
    <m:lMargin m:val="0"/>
    <m:rMargin m:val="0"/>
    <m:defJc m:val="centerGroup"/>
    <m:wrapIndent m:val="1440"/>
    <m:intLim m:val="subSup"/>
    <m:naryLim m:val="undOvr"/>
  </m:mathPr>
  <w:themeFontLang w:val="en-BA"/>
  <w:clrSchemeMapping w:bg1="light1" w:t1="dark1" w:bg2="light2" w:t2="dark2" w:accent1="accent1" w:accent2="accent2" w:accent3="accent3" w:accent4="accent4" w:accent5="accent5" w:accent6="accent6" w:hyperlink="hyperlink" w:followedHyperlink="followedHyperlink"/>
  <w:decimalSymbol w:val=","/>
  <w:listSeparator w:val=","/>
  <w14:docId w14:val="6CD422E2"/>
  <w15:chartTrackingRefBased/>
  <w15:docId w15:val="{1F1B9F6E-11F9-0D49-8D32-B3F4454E8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B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D6DE4"/>
    <w:pPr>
      <w:spacing w:before="100" w:beforeAutospacing="1" w:after="100" w:afterAutospacing="1"/>
      <w:outlineLvl w:val="0"/>
    </w:pPr>
    <w:rPr>
      <w:rFonts w:ascii="Times New Roman" w:eastAsia="Times New Roman" w:hAnsi="Times New Roman" w:cs="Times New Roman"/>
      <w:b/>
      <w:bCs/>
      <w:kern w:val="36"/>
      <w:sz w:val="48"/>
      <w:szCs w:val="48"/>
      <w:lang w:eastAsia="en-GB"/>
      <w14:ligatures w14:val="none"/>
    </w:rPr>
  </w:style>
  <w:style w:type="paragraph" w:styleId="Heading2">
    <w:name w:val="heading 2"/>
    <w:basedOn w:val="Normal"/>
    <w:link w:val="Heading2Char"/>
    <w:uiPriority w:val="9"/>
    <w:qFormat/>
    <w:rsid w:val="00ED6DE4"/>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DE4"/>
    <w:rPr>
      <w:rFonts w:ascii="Times New Roman" w:eastAsia="Times New Roman" w:hAnsi="Times New Roman" w:cs="Times New Roman"/>
      <w:b/>
      <w:bCs/>
      <w:kern w:val="36"/>
      <w:sz w:val="48"/>
      <w:szCs w:val="48"/>
      <w:lang w:eastAsia="en-GB"/>
      <w14:ligatures w14:val="none"/>
    </w:rPr>
  </w:style>
  <w:style w:type="character" w:customStyle="1" w:styleId="Heading2Char">
    <w:name w:val="Heading 2 Char"/>
    <w:basedOn w:val="DefaultParagraphFont"/>
    <w:link w:val="Heading2"/>
    <w:uiPriority w:val="9"/>
    <w:rsid w:val="00ED6DE4"/>
    <w:rPr>
      <w:rFonts w:ascii="Times New Roman" w:eastAsia="Times New Roman" w:hAnsi="Times New Roman" w:cs="Times New Roman"/>
      <w:b/>
      <w:bCs/>
      <w:kern w:val="0"/>
      <w:sz w:val="36"/>
      <w:szCs w:val="36"/>
      <w:lang w:eastAsia="en-GB"/>
      <w14:ligatures w14:val="none"/>
    </w:rPr>
  </w:style>
  <w:style w:type="paragraph" w:styleId="NormalWeb">
    <w:name w:val="Normal (Web)"/>
    <w:basedOn w:val="Normal"/>
    <w:uiPriority w:val="99"/>
    <w:semiHidden/>
    <w:unhideWhenUsed/>
    <w:rsid w:val="00ED6DE4"/>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ED6DE4"/>
    <w:rPr>
      <w:color w:val="0000FF"/>
      <w:u w:val="single"/>
    </w:rPr>
  </w:style>
  <w:style w:type="character" w:customStyle="1" w:styleId="apple-converted-space">
    <w:name w:val="apple-converted-space"/>
    <w:basedOn w:val="DefaultParagraphFont"/>
    <w:rsid w:val="00ED6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287741">
      <w:bodyDiv w:val="1"/>
      <w:marLeft w:val="0"/>
      <w:marRight w:val="0"/>
      <w:marTop w:val="0"/>
      <w:marBottom w:val="0"/>
      <w:divBdr>
        <w:top w:val="none" w:sz="0" w:space="0" w:color="auto"/>
        <w:left w:val="none" w:sz="0" w:space="0" w:color="auto"/>
        <w:bottom w:val="none" w:sz="0" w:space="0" w:color="auto"/>
        <w:right w:val="none" w:sz="0" w:space="0" w:color="auto"/>
      </w:divBdr>
      <w:divsChild>
        <w:div w:id="1471095584">
          <w:marLeft w:val="0"/>
          <w:marRight w:val="0"/>
          <w:marTop w:val="0"/>
          <w:marBottom w:val="0"/>
          <w:divBdr>
            <w:top w:val="none" w:sz="0" w:space="0" w:color="auto"/>
            <w:left w:val="none" w:sz="0" w:space="0" w:color="auto"/>
            <w:bottom w:val="none" w:sz="0" w:space="0" w:color="auto"/>
            <w:right w:val="none" w:sz="0" w:space="0" w:color="auto"/>
          </w:divBdr>
          <w:divsChild>
            <w:div w:id="449860853">
              <w:marLeft w:val="0"/>
              <w:marRight w:val="0"/>
              <w:marTop w:val="0"/>
              <w:marBottom w:val="0"/>
              <w:divBdr>
                <w:top w:val="none" w:sz="0" w:space="0" w:color="auto"/>
                <w:left w:val="none" w:sz="0" w:space="0" w:color="auto"/>
                <w:bottom w:val="none" w:sz="0" w:space="0" w:color="auto"/>
                <w:right w:val="none" w:sz="0" w:space="0" w:color="auto"/>
              </w:divBdr>
            </w:div>
          </w:divsChild>
        </w:div>
        <w:div w:id="1152795501">
          <w:marLeft w:val="0"/>
          <w:marRight w:val="0"/>
          <w:marTop w:val="0"/>
          <w:marBottom w:val="0"/>
          <w:divBdr>
            <w:top w:val="none" w:sz="0" w:space="0" w:color="auto"/>
            <w:left w:val="none" w:sz="0" w:space="0" w:color="auto"/>
            <w:bottom w:val="none" w:sz="0" w:space="0" w:color="auto"/>
            <w:right w:val="none" w:sz="0" w:space="0" w:color="auto"/>
          </w:divBdr>
          <w:divsChild>
            <w:div w:id="1785031382">
              <w:marLeft w:val="0"/>
              <w:marRight w:val="0"/>
              <w:marTop w:val="0"/>
              <w:marBottom w:val="0"/>
              <w:divBdr>
                <w:top w:val="none" w:sz="0" w:space="0" w:color="auto"/>
                <w:left w:val="none" w:sz="0" w:space="0" w:color="auto"/>
                <w:bottom w:val="none" w:sz="0" w:space="0" w:color="auto"/>
                <w:right w:val="none" w:sz="0" w:space="0" w:color="auto"/>
              </w:divBdr>
              <w:divsChild>
                <w:div w:id="840315190">
                  <w:marLeft w:val="0"/>
                  <w:marRight w:val="0"/>
                  <w:marTop w:val="0"/>
                  <w:marBottom w:val="0"/>
                  <w:divBdr>
                    <w:top w:val="none" w:sz="0" w:space="0" w:color="auto"/>
                    <w:left w:val="none" w:sz="0" w:space="0" w:color="auto"/>
                    <w:bottom w:val="none" w:sz="0" w:space="0" w:color="auto"/>
                    <w:right w:val="none" w:sz="0" w:space="0" w:color="auto"/>
                  </w:divBdr>
                  <w:divsChild>
                    <w:div w:id="74195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064720">
              <w:marLeft w:val="0"/>
              <w:marRight w:val="0"/>
              <w:marTop w:val="0"/>
              <w:marBottom w:val="0"/>
              <w:divBdr>
                <w:top w:val="none" w:sz="0" w:space="0" w:color="auto"/>
                <w:left w:val="none" w:sz="0" w:space="0" w:color="auto"/>
                <w:bottom w:val="none" w:sz="0" w:space="0" w:color="auto"/>
                <w:right w:val="none" w:sz="0" w:space="0" w:color="auto"/>
              </w:divBdr>
              <w:divsChild>
                <w:div w:id="602881216">
                  <w:marLeft w:val="0"/>
                  <w:marRight w:val="0"/>
                  <w:marTop w:val="0"/>
                  <w:marBottom w:val="0"/>
                  <w:divBdr>
                    <w:top w:val="none" w:sz="0" w:space="0" w:color="auto"/>
                    <w:left w:val="none" w:sz="0" w:space="0" w:color="auto"/>
                    <w:bottom w:val="none" w:sz="0" w:space="0" w:color="auto"/>
                    <w:right w:val="none" w:sz="0" w:space="0" w:color="auto"/>
                  </w:divBdr>
                  <w:divsChild>
                    <w:div w:id="69477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461057">
              <w:marLeft w:val="0"/>
              <w:marRight w:val="0"/>
              <w:marTop w:val="0"/>
              <w:marBottom w:val="0"/>
              <w:divBdr>
                <w:top w:val="none" w:sz="0" w:space="0" w:color="auto"/>
                <w:left w:val="none" w:sz="0" w:space="0" w:color="auto"/>
                <w:bottom w:val="none" w:sz="0" w:space="0" w:color="auto"/>
                <w:right w:val="none" w:sz="0" w:space="0" w:color="auto"/>
              </w:divBdr>
              <w:divsChild>
                <w:div w:id="1031223956">
                  <w:marLeft w:val="0"/>
                  <w:marRight w:val="0"/>
                  <w:marTop w:val="0"/>
                  <w:marBottom w:val="0"/>
                  <w:divBdr>
                    <w:top w:val="none" w:sz="0" w:space="0" w:color="auto"/>
                    <w:left w:val="none" w:sz="0" w:space="0" w:color="auto"/>
                    <w:bottom w:val="none" w:sz="0" w:space="0" w:color="auto"/>
                    <w:right w:val="none" w:sz="0" w:space="0" w:color="auto"/>
                  </w:divBdr>
                  <w:divsChild>
                    <w:div w:id="142969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577493">
              <w:marLeft w:val="0"/>
              <w:marRight w:val="0"/>
              <w:marTop w:val="0"/>
              <w:marBottom w:val="0"/>
              <w:divBdr>
                <w:top w:val="none" w:sz="0" w:space="0" w:color="auto"/>
                <w:left w:val="none" w:sz="0" w:space="0" w:color="auto"/>
                <w:bottom w:val="none" w:sz="0" w:space="0" w:color="auto"/>
                <w:right w:val="none" w:sz="0" w:space="0" w:color="auto"/>
              </w:divBdr>
              <w:divsChild>
                <w:div w:id="1225407047">
                  <w:marLeft w:val="0"/>
                  <w:marRight w:val="0"/>
                  <w:marTop w:val="0"/>
                  <w:marBottom w:val="0"/>
                  <w:divBdr>
                    <w:top w:val="none" w:sz="0" w:space="0" w:color="auto"/>
                    <w:left w:val="none" w:sz="0" w:space="0" w:color="auto"/>
                    <w:bottom w:val="none" w:sz="0" w:space="0" w:color="auto"/>
                    <w:right w:val="none" w:sz="0" w:space="0" w:color="auto"/>
                  </w:divBdr>
                  <w:divsChild>
                    <w:div w:id="21720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43558">
              <w:marLeft w:val="0"/>
              <w:marRight w:val="0"/>
              <w:marTop w:val="0"/>
              <w:marBottom w:val="0"/>
              <w:divBdr>
                <w:top w:val="none" w:sz="0" w:space="0" w:color="auto"/>
                <w:left w:val="none" w:sz="0" w:space="0" w:color="auto"/>
                <w:bottom w:val="none" w:sz="0" w:space="0" w:color="auto"/>
                <w:right w:val="none" w:sz="0" w:space="0" w:color="auto"/>
              </w:divBdr>
              <w:divsChild>
                <w:div w:id="1574775455">
                  <w:marLeft w:val="0"/>
                  <w:marRight w:val="0"/>
                  <w:marTop w:val="0"/>
                  <w:marBottom w:val="0"/>
                  <w:divBdr>
                    <w:top w:val="none" w:sz="0" w:space="0" w:color="auto"/>
                    <w:left w:val="none" w:sz="0" w:space="0" w:color="auto"/>
                    <w:bottom w:val="none" w:sz="0" w:space="0" w:color="auto"/>
                    <w:right w:val="none" w:sz="0" w:space="0" w:color="auto"/>
                  </w:divBdr>
                  <w:divsChild>
                    <w:div w:id="992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dinarica.org/otvaranje-pritoka-neretve-u-cilju-obnavljanja-populacije-endemske-pastrmk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1290</Words>
  <Characters>7359</Characters>
  <Application>Microsoft Office Word</Application>
  <DocSecurity>0</DocSecurity>
  <Lines>61</Lines>
  <Paragraphs>17</Paragraphs>
  <ScaleCrop>false</ScaleCrop>
  <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2026-10-20T12:05:00Z</dcterms:created>
  <dcterms:modified xsi:type="dcterms:W3CDTF">2026-10-20T12:05:00Z</dcterms:modified>
</cp:coreProperties>
</file>